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9" w:rsidRDefault="009F091A" w:rsidP="004A2A29">
      <w:pPr>
        <w:jc w:val="center"/>
        <w:rPr>
          <w:b/>
          <w:sz w:val="28"/>
          <w:szCs w:val="28"/>
          <w:lang w:val="uk-UA"/>
        </w:rPr>
      </w:pPr>
      <w:bookmarkStart w:id="0" w:name="_GoBack"/>
      <w:bookmarkEnd w:id="0"/>
      <w:r w:rsidRPr="00E93BF4">
        <w:rPr>
          <w:noProof/>
          <w:sz w:val="22"/>
          <w:szCs w:val="22"/>
          <w:lang w:val="uk-UA" w:eastAsia="uk-UA"/>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901DF2" w:rsidRDefault="00901DF2"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901DF2" w:rsidRPr="00406AA5">
        <w:rPr>
          <w:sz w:val="28"/>
          <w:szCs w:val="28"/>
          <w:lang w:val="uk-UA"/>
        </w:rPr>
        <w:t>25.10.2024 №</w:t>
      </w:r>
      <w:r w:rsidR="00901DF2" w:rsidRPr="00406AA5">
        <w:rPr>
          <w:sz w:val="28"/>
          <w:szCs w:val="28"/>
          <w:lang w:val="uk-UA"/>
        </w:rPr>
        <w:tab/>
      </w:r>
      <w:r w:rsidR="00406AA5">
        <w:rPr>
          <w:sz w:val="28"/>
          <w:szCs w:val="28"/>
          <w:lang w:val="uk-UA"/>
        </w:rPr>
        <w:t>2521</w:t>
      </w:r>
      <w:r w:rsidR="00406AA5">
        <w:rPr>
          <w:sz w:val="28"/>
          <w:szCs w:val="28"/>
          <w:lang w:val="uk-UA"/>
        </w:rPr>
        <w:tab/>
      </w:r>
      <w:r w:rsidR="00901DF2" w:rsidRPr="00406AA5">
        <w:rPr>
          <w:sz w:val="28"/>
          <w:szCs w:val="28"/>
          <w:lang w:val="uk-UA"/>
        </w:rPr>
        <w:tab/>
      </w:r>
      <w:r w:rsidR="00EA3C86">
        <w:rPr>
          <w:sz w:val="28"/>
          <w:szCs w:val="28"/>
          <w:lang w:val="uk-UA"/>
        </w:rPr>
        <w:tab/>
      </w:r>
      <w:r w:rsidR="003A0E24">
        <w:rPr>
          <w:sz w:val="28"/>
          <w:szCs w:val="28"/>
          <w:lang w:val="uk-UA"/>
        </w:rPr>
        <w:tab/>
      </w:r>
      <w:r w:rsidR="003A0E24">
        <w:rPr>
          <w:sz w:val="28"/>
          <w:szCs w:val="28"/>
          <w:lang w:val="uk-UA"/>
        </w:rPr>
        <w:tab/>
      </w:r>
      <w:r w:rsidR="00091944">
        <w:rPr>
          <w:sz w:val="28"/>
          <w:szCs w:val="28"/>
          <w:lang w:val="uk-UA"/>
        </w:rPr>
        <w:tab/>
      </w:r>
      <w:r w:rsidR="00091944">
        <w:rPr>
          <w:sz w:val="28"/>
          <w:szCs w:val="28"/>
          <w:lang w:val="uk-UA"/>
        </w:rPr>
        <w:tab/>
      </w:r>
      <w:r w:rsidR="00B46053">
        <w:rPr>
          <w:sz w:val="28"/>
          <w:szCs w:val="28"/>
          <w:lang w:val="uk-UA"/>
        </w:rPr>
        <w:t xml:space="preserve"> </w:t>
      </w:r>
      <w:r w:rsidR="00C55137">
        <w:rPr>
          <w:sz w:val="28"/>
          <w:szCs w:val="28"/>
          <w:lang w:val="uk-UA"/>
        </w:rPr>
        <w:t>50</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901DF2">
        <w:rPr>
          <w:szCs w:val="28"/>
          <w:lang w:val="uk-UA"/>
        </w:rPr>
        <w:t xml:space="preserve">   </w:t>
      </w:r>
      <w:r w:rsidR="00AD4509">
        <w:rPr>
          <w:szCs w:val="28"/>
          <w:lang w:val="uk-UA"/>
        </w:rPr>
        <w:t xml:space="preserve"> </w:t>
      </w:r>
      <w:r w:rsidR="004A2A29" w:rsidRPr="00BC0421">
        <w:rPr>
          <w:szCs w:val="28"/>
          <w:lang w:val="uk-UA"/>
        </w:rPr>
        <w:t>м. Вінниця</w:t>
      </w:r>
    </w:p>
    <w:p w:rsidR="00DA0D1B" w:rsidRDefault="00DA0D1B" w:rsidP="00DA0D1B">
      <w:pPr>
        <w:rPr>
          <w:szCs w:val="28"/>
          <w:lang w:val="uk-UA"/>
        </w:rPr>
      </w:pPr>
    </w:p>
    <w:p w:rsidR="00DA0D1B" w:rsidRDefault="00DA0D1B" w:rsidP="00DA0D1B">
      <w:pPr>
        <w:rPr>
          <w:szCs w:val="28"/>
          <w:lang w:val="uk-UA"/>
        </w:rPr>
      </w:pPr>
    </w:p>
    <w:p w:rsidR="00DA0D1B" w:rsidRPr="00DA67C9" w:rsidRDefault="00DA0D1B" w:rsidP="00DA0D1B">
      <w:pPr>
        <w:rPr>
          <w:b/>
          <w:sz w:val="28"/>
          <w:szCs w:val="28"/>
          <w:lang w:val="uk-UA"/>
        </w:rPr>
      </w:pPr>
      <w:r w:rsidRPr="00DA67C9">
        <w:rPr>
          <w:b/>
          <w:sz w:val="28"/>
          <w:szCs w:val="28"/>
          <w:lang w:val="uk-UA"/>
        </w:rPr>
        <w:t xml:space="preserve">Про внесення змін до рішення міської </w:t>
      </w:r>
    </w:p>
    <w:p w:rsidR="00DA0D1B" w:rsidRPr="00DA67C9" w:rsidRDefault="00DA0D1B" w:rsidP="00DA0D1B">
      <w:pPr>
        <w:rPr>
          <w:b/>
          <w:sz w:val="28"/>
          <w:szCs w:val="28"/>
          <w:lang w:val="uk-UA"/>
        </w:rPr>
      </w:pPr>
      <w:r w:rsidRPr="00DA67C9">
        <w:rPr>
          <w:b/>
          <w:sz w:val="28"/>
          <w:szCs w:val="28"/>
          <w:lang w:val="uk-UA"/>
        </w:rPr>
        <w:t xml:space="preserve">ради від 24.11.2023 № 1978 «Про затвердження </w:t>
      </w:r>
    </w:p>
    <w:p w:rsidR="00DA0D1B" w:rsidRPr="00DA67C9" w:rsidRDefault="00DA0D1B" w:rsidP="00DA0D1B">
      <w:pPr>
        <w:rPr>
          <w:b/>
          <w:sz w:val="28"/>
          <w:szCs w:val="28"/>
          <w:lang w:val="uk-UA"/>
        </w:rPr>
      </w:pPr>
      <w:r w:rsidRPr="00DA67C9">
        <w:rPr>
          <w:b/>
          <w:sz w:val="28"/>
          <w:szCs w:val="28"/>
          <w:lang w:val="uk-UA"/>
        </w:rPr>
        <w:t xml:space="preserve">Програми розвитку туризму та промоції </w:t>
      </w:r>
    </w:p>
    <w:p w:rsidR="00DA0D1B" w:rsidRPr="00DA67C9" w:rsidRDefault="00DA0D1B" w:rsidP="00DA0D1B">
      <w:pPr>
        <w:rPr>
          <w:b/>
          <w:sz w:val="28"/>
          <w:szCs w:val="28"/>
          <w:lang w:val="uk-UA"/>
        </w:rPr>
      </w:pPr>
      <w:r w:rsidRPr="00DA67C9">
        <w:rPr>
          <w:b/>
          <w:sz w:val="28"/>
          <w:szCs w:val="28"/>
          <w:lang w:val="uk-UA"/>
        </w:rPr>
        <w:t xml:space="preserve">Вінницької міської територіальної громади </w:t>
      </w:r>
    </w:p>
    <w:p w:rsidR="00DA0D1B" w:rsidRPr="00DA67C9" w:rsidRDefault="00DA0D1B" w:rsidP="00DA0D1B">
      <w:pPr>
        <w:jc w:val="both"/>
        <w:rPr>
          <w:sz w:val="28"/>
          <w:szCs w:val="28"/>
          <w:lang w:val="uk-UA"/>
        </w:rPr>
      </w:pPr>
      <w:r w:rsidRPr="00DA67C9">
        <w:rPr>
          <w:b/>
          <w:sz w:val="28"/>
          <w:szCs w:val="28"/>
          <w:lang w:val="uk-UA"/>
        </w:rPr>
        <w:t>на 2024-2026 роки» зі змінами</w:t>
      </w:r>
    </w:p>
    <w:p w:rsidR="00DA0D1B" w:rsidRPr="00DA67C9" w:rsidRDefault="00DA0D1B" w:rsidP="00DA0D1B">
      <w:pPr>
        <w:ind w:firstLine="708"/>
        <w:jc w:val="both"/>
        <w:rPr>
          <w:sz w:val="28"/>
          <w:szCs w:val="28"/>
          <w:lang w:val="uk-UA"/>
        </w:rPr>
      </w:pPr>
    </w:p>
    <w:p w:rsidR="00DA0D1B" w:rsidRDefault="00DA0D1B" w:rsidP="00DA0D1B">
      <w:pPr>
        <w:ind w:firstLine="708"/>
        <w:jc w:val="both"/>
        <w:rPr>
          <w:sz w:val="28"/>
          <w:szCs w:val="28"/>
          <w:lang w:val="uk-UA"/>
        </w:rPr>
      </w:pPr>
    </w:p>
    <w:p w:rsidR="00DA0D1B" w:rsidRPr="00DA67C9" w:rsidRDefault="00DA0D1B" w:rsidP="00DA0D1B">
      <w:pPr>
        <w:ind w:firstLine="708"/>
        <w:jc w:val="both"/>
        <w:rPr>
          <w:sz w:val="28"/>
          <w:szCs w:val="28"/>
          <w:lang w:val="uk-UA"/>
        </w:rPr>
      </w:pPr>
    </w:p>
    <w:p w:rsidR="00DA0D1B" w:rsidRPr="00DA67C9" w:rsidRDefault="00DA0D1B" w:rsidP="00DA0D1B">
      <w:pPr>
        <w:ind w:firstLine="567"/>
        <w:jc w:val="both"/>
        <w:rPr>
          <w:b/>
          <w:sz w:val="28"/>
          <w:szCs w:val="28"/>
          <w:lang w:val="uk-UA"/>
        </w:rPr>
      </w:pPr>
      <w:r w:rsidRPr="00DA67C9">
        <w:rPr>
          <w:sz w:val="28"/>
          <w:szCs w:val="28"/>
          <w:lang w:val="uk-UA"/>
        </w:rPr>
        <w:t>З метою формування позитивного іміджу Вінницької міської територіальної громади, враховуючи необхідність з</w:t>
      </w:r>
      <w:r w:rsidRPr="00DA67C9">
        <w:rPr>
          <w:sz w:val="28"/>
          <w:szCs w:val="28"/>
          <w:lang w:val="uk-UA" w:eastAsia="uk-UA"/>
        </w:rPr>
        <w:t>абезпечення функціонування комунального підприємства Вінницької міської ради «Офіс туризму Вінниці»</w:t>
      </w:r>
      <w:r w:rsidRPr="00DA67C9">
        <w:rPr>
          <w:sz w:val="28"/>
          <w:szCs w:val="28"/>
          <w:lang w:val="uk-UA"/>
        </w:rPr>
        <w:t>, керуючись пунктом 22 частини 1 статті 26 та частиною 1 статті 59 Закону України «Про місцеве самоврядування в Україні», міська рада</w:t>
      </w:r>
    </w:p>
    <w:p w:rsidR="00DA0D1B" w:rsidRPr="00DA67C9" w:rsidRDefault="00DA0D1B" w:rsidP="00DA0D1B">
      <w:pPr>
        <w:jc w:val="center"/>
        <w:rPr>
          <w:b/>
          <w:bCs/>
          <w:sz w:val="28"/>
          <w:szCs w:val="28"/>
          <w:lang w:val="uk-UA"/>
        </w:rPr>
      </w:pPr>
    </w:p>
    <w:p w:rsidR="00DA0D1B" w:rsidRPr="00DA67C9" w:rsidRDefault="00DA0D1B" w:rsidP="00DA0D1B">
      <w:pPr>
        <w:jc w:val="center"/>
        <w:rPr>
          <w:b/>
          <w:bCs/>
          <w:sz w:val="28"/>
          <w:szCs w:val="28"/>
          <w:lang w:val="uk-UA"/>
        </w:rPr>
      </w:pPr>
      <w:r w:rsidRPr="00DA67C9">
        <w:rPr>
          <w:b/>
          <w:bCs/>
          <w:sz w:val="28"/>
          <w:szCs w:val="28"/>
          <w:lang w:val="uk-UA"/>
        </w:rPr>
        <w:t>ВИРІШИЛА:</w:t>
      </w:r>
    </w:p>
    <w:p w:rsidR="00DA0D1B" w:rsidRPr="00DA67C9" w:rsidRDefault="00DA0D1B" w:rsidP="00DA0D1B">
      <w:pPr>
        <w:ind w:firstLine="708"/>
        <w:jc w:val="both"/>
        <w:rPr>
          <w:b/>
          <w:bCs/>
          <w:sz w:val="28"/>
          <w:szCs w:val="28"/>
          <w:lang w:val="uk-UA"/>
        </w:rPr>
      </w:pPr>
    </w:p>
    <w:p w:rsidR="00DA0D1B" w:rsidRDefault="00DA0D1B" w:rsidP="00DA0D1B">
      <w:pPr>
        <w:ind w:firstLine="567"/>
        <w:jc w:val="both"/>
        <w:rPr>
          <w:sz w:val="28"/>
          <w:szCs w:val="28"/>
          <w:lang w:val="uk-UA"/>
        </w:rPr>
      </w:pPr>
      <w:r w:rsidRPr="00DA67C9">
        <w:rPr>
          <w:sz w:val="28"/>
          <w:szCs w:val="28"/>
          <w:lang w:val="uk-UA"/>
        </w:rPr>
        <w:t>1. Внести зміни до рішення міської ради від 24.11.2023 № 1978 «Про затвердження Програми розвитку туризму та промоції Вінницької міської територіальної громади на 2024-2026 роки» зі змінами, а саме</w:t>
      </w:r>
      <w:r w:rsidRPr="007C6AEF">
        <w:rPr>
          <w:sz w:val="28"/>
          <w:szCs w:val="28"/>
          <w:lang w:val="uk-UA"/>
        </w:rPr>
        <w:t xml:space="preserve"> </w:t>
      </w:r>
      <w:r>
        <w:rPr>
          <w:sz w:val="28"/>
          <w:szCs w:val="28"/>
          <w:lang w:val="uk-UA"/>
        </w:rPr>
        <w:t xml:space="preserve">в додатку до рішення: </w:t>
      </w:r>
    </w:p>
    <w:p w:rsidR="00DA0D1B" w:rsidRPr="00DA67C9" w:rsidRDefault="00DA0D1B" w:rsidP="00DA0D1B">
      <w:pPr>
        <w:ind w:firstLine="567"/>
        <w:jc w:val="both"/>
        <w:rPr>
          <w:sz w:val="28"/>
          <w:szCs w:val="28"/>
          <w:lang w:val="uk-UA"/>
        </w:rPr>
      </w:pPr>
      <w:r>
        <w:rPr>
          <w:sz w:val="28"/>
          <w:szCs w:val="28"/>
          <w:lang w:val="uk-UA"/>
        </w:rPr>
        <w:t xml:space="preserve">1.1. </w:t>
      </w:r>
      <w:r w:rsidRPr="00DA67C9">
        <w:rPr>
          <w:sz w:val="28"/>
          <w:szCs w:val="28"/>
          <w:lang w:val="uk-UA"/>
        </w:rPr>
        <w:t>розділ 7 «Напрями діяльності та заходи/проєкти Програми розвитку туризму та промоції Вінницької міської територіальної громади на 2024-2026 роки» викласти у новій редакції згідно з додатком до даного рішення.</w:t>
      </w:r>
    </w:p>
    <w:p w:rsidR="00DA0D1B" w:rsidRPr="00DA67C9" w:rsidRDefault="00DA0D1B" w:rsidP="00DA0D1B">
      <w:pPr>
        <w:ind w:firstLine="567"/>
        <w:jc w:val="both"/>
        <w:rPr>
          <w:sz w:val="28"/>
          <w:szCs w:val="28"/>
        </w:rPr>
      </w:pPr>
      <w:r w:rsidRPr="00DA67C9">
        <w:rPr>
          <w:sz w:val="28"/>
          <w:szCs w:val="28"/>
          <w:lang w:val="uk-UA"/>
        </w:rPr>
        <w:t xml:space="preserve">2. </w:t>
      </w:r>
      <w:r w:rsidRPr="00DA67C9">
        <w:rPr>
          <w:sz w:val="28"/>
          <w:szCs w:val="28"/>
        </w:rPr>
        <w:t xml:space="preserve">Контроль за виконанням даного рішення покласти на постійну комісію з питань освіти, культури, молоді, фізкультури і </w:t>
      </w:r>
      <w:r w:rsidRPr="00DA67C9">
        <w:rPr>
          <w:sz w:val="28"/>
          <w:szCs w:val="28"/>
        </w:rPr>
        <w:lastRenderedPageBreak/>
        <w:t>спорту (В. Малінін) та з питань планування, фінансів, бюджету та соціально-економічного розвитку (С. Ярова).</w:t>
      </w:r>
    </w:p>
    <w:p w:rsidR="00DA0D1B" w:rsidRDefault="00DA0D1B" w:rsidP="00DA0D1B">
      <w:pPr>
        <w:jc w:val="both"/>
        <w:rPr>
          <w:b/>
          <w:sz w:val="28"/>
          <w:szCs w:val="28"/>
          <w:lang w:val="uk-UA"/>
        </w:rPr>
      </w:pPr>
    </w:p>
    <w:p w:rsidR="00DA0D1B" w:rsidRDefault="00DA0D1B" w:rsidP="00DA0D1B">
      <w:pPr>
        <w:jc w:val="both"/>
        <w:rPr>
          <w:b/>
          <w:sz w:val="28"/>
          <w:szCs w:val="28"/>
          <w:lang w:val="uk-UA"/>
        </w:rPr>
      </w:pPr>
    </w:p>
    <w:p w:rsidR="00DA0D1B" w:rsidRDefault="00DA0D1B" w:rsidP="00DA0D1B">
      <w:pPr>
        <w:jc w:val="both"/>
        <w:rPr>
          <w:b/>
          <w:sz w:val="28"/>
          <w:szCs w:val="28"/>
          <w:lang w:val="uk-UA"/>
        </w:rPr>
      </w:pPr>
    </w:p>
    <w:p w:rsidR="00DA0D1B" w:rsidRDefault="00DA0D1B" w:rsidP="00DA0D1B">
      <w:pPr>
        <w:jc w:val="both"/>
        <w:rPr>
          <w:b/>
          <w:sz w:val="28"/>
          <w:szCs w:val="28"/>
          <w:lang w:val="uk-UA"/>
        </w:rPr>
      </w:pPr>
    </w:p>
    <w:p w:rsidR="00DA0D1B" w:rsidRDefault="00DA0D1B" w:rsidP="00DA0D1B">
      <w:pPr>
        <w:jc w:val="both"/>
        <w:rPr>
          <w:b/>
          <w:sz w:val="28"/>
          <w:szCs w:val="28"/>
          <w:lang w:val="uk-UA"/>
        </w:rPr>
      </w:pPr>
    </w:p>
    <w:p w:rsidR="00DA0D1B" w:rsidRPr="00DA67C9" w:rsidRDefault="00DA0D1B" w:rsidP="00DA0D1B">
      <w:pPr>
        <w:jc w:val="both"/>
        <w:rPr>
          <w:b/>
          <w:sz w:val="28"/>
          <w:szCs w:val="28"/>
          <w:lang w:val="uk-UA"/>
        </w:rPr>
      </w:pPr>
      <w:r w:rsidRPr="00DA67C9">
        <w:rPr>
          <w:b/>
          <w:sz w:val="28"/>
          <w:szCs w:val="28"/>
          <w:lang w:val="uk-UA"/>
        </w:rPr>
        <w:t>Міський голова                                                                        Сергій МОРГУНОВ</w:t>
      </w:r>
      <w:r w:rsidRPr="00DA67C9">
        <w:rPr>
          <w:noProof/>
          <w:sz w:val="22"/>
          <w:szCs w:val="22"/>
          <w:lang w:val="uk-UA" w:eastAsia="uk-UA"/>
        </w:rPr>
        <w:t xml:space="preserve"> </w:t>
      </w:r>
    </w:p>
    <w:p w:rsidR="00DA0D1B" w:rsidRPr="00DA67C9" w:rsidRDefault="00DA0D1B" w:rsidP="00DA0D1B">
      <w:pPr>
        <w:ind w:left="-1134" w:right="-285"/>
        <w:jc w:val="center"/>
        <w:rPr>
          <w:bCs/>
          <w:sz w:val="18"/>
          <w:szCs w:val="28"/>
          <w:lang w:val="uk-UA"/>
        </w:rPr>
      </w:pPr>
    </w:p>
    <w:p w:rsidR="00DA0D1B" w:rsidRPr="00DA67C9" w:rsidRDefault="00DA0D1B" w:rsidP="00DA0D1B">
      <w:pPr>
        <w:rPr>
          <w:sz w:val="28"/>
          <w:szCs w:val="28"/>
          <w:lang w:val="uk-UA"/>
        </w:rPr>
        <w:sectPr w:rsidR="00DA0D1B" w:rsidRPr="00DA67C9" w:rsidSect="00DA0D1B">
          <w:type w:val="continuous"/>
          <w:pgSz w:w="11906" w:h="16838"/>
          <w:pgMar w:top="1134" w:right="567" w:bottom="1134" w:left="1418" w:header="709" w:footer="709" w:gutter="0"/>
          <w:cols w:space="708"/>
          <w:docGrid w:linePitch="360"/>
        </w:sectPr>
      </w:pPr>
    </w:p>
    <w:p w:rsidR="00DA0D1B" w:rsidRPr="00DA67C9" w:rsidRDefault="00DA0D1B" w:rsidP="00DA0D1B">
      <w:pPr>
        <w:ind w:left="10490"/>
        <w:rPr>
          <w:sz w:val="28"/>
          <w:szCs w:val="28"/>
          <w:lang w:val="uk-UA"/>
        </w:rPr>
      </w:pPr>
      <w:r w:rsidRPr="00DA67C9">
        <w:rPr>
          <w:sz w:val="28"/>
          <w:szCs w:val="28"/>
          <w:lang w:val="uk-UA"/>
        </w:rPr>
        <w:lastRenderedPageBreak/>
        <w:t xml:space="preserve">Додаток </w:t>
      </w:r>
    </w:p>
    <w:p w:rsidR="00DA0D1B" w:rsidRPr="00DA67C9" w:rsidRDefault="00DA0D1B" w:rsidP="00DA0D1B">
      <w:pPr>
        <w:ind w:left="10490"/>
        <w:rPr>
          <w:sz w:val="28"/>
          <w:szCs w:val="28"/>
          <w:lang w:val="uk-UA"/>
        </w:rPr>
      </w:pPr>
      <w:r w:rsidRPr="00DA67C9">
        <w:rPr>
          <w:sz w:val="28"/>
          <w:szCs w:val="28"/>
          <w:lang w:val="uk-UA"/>
        </w:rPr>
        <w:t>до рішення міської ради</w:t>
      </w:r>
    </w:p>
    <w:p w:rsidR="00DA0D1B" w:rsidRPr="00406AA5" w:rsidRDefault="00DA0D1B" w:rsidP="00DA0D1B">
      <w:pPr>
        <w:ind w:left="10490"/>
        <w:rPr>
          <w:sz w:val="28"/>
          <w:szCs w:val="28"/>
          <w:lang w:val="uk-UA"/>
        </w:rPr>
      </w:pPr>
      <w:r w:rsidRPr="00DA67C9">
        <w:rPr>
          <w:sz w:val="28"/>
          <w:szCs w:val="28"/>
          <w:lang w:val="uk-UA"/>
        </w:rPr>
        <w:t xml:space="preserve">від </w:t>
      </w:r>
      <w:r w:rsidR="00901DF2">
        <w:rPr>
          <w:sz w:val="28"/>
          <w:szCs w:val="28"/>
        </w:rPr>
        <w:t xml:space="preserve">25.10.2024 </w:t>
      </w:r>
      <w:r w:rsidR="00901DF2">
        <w:rPr>
          <w:sz w:val="28"/>
          <w:szCs w:val="28"/>
        </w:rPr>
        <w:lastRenderedPageBreak/>
        <w:t>№</w:t>
      </w:r>
      <w:r w:rsidR="00406AA5">
        <w:rPr>
          <w:sz w:val="28"/>
          <w:szCs w:val="28"/>
          <w:lang w:val="uk-UA"/>
        </w:rPr>
        <w:t xml:space="preserve"> 2521</w:t>
      </w:r>
    </w:p>
    <w:p w:rsidR="00DA0D1B" w:rsidRPr="00DA67C9" w:rsidRDefault="00DA0D1B" w:rsidP="00DA0D1B">
      <w:pPr>
        <w:tabs>
          <w:tab w:val="left" w:pos="426"/>
        </w:tabs>
        <w:rPr>
          <w:sz w:val="28"/>
          <w:szCs w:val="28"/>
          <w:lang w:val="uk-UA"/>
        </w:rPr>
      </w:pPr>
    </w:p>
    <w:p w:rsidR="00DA0D1B" w:rsidRPr="00DA67C9" w:rsidRDefault="00DA0D1B" w:rsidP="00DA0D1B">
      <w:pPr>
        <w:shd w:val="clear" w:color="auto" w:fill="FFFFFF" w:themeFill="background1"/>
        <w:spacing w:before="240" w:after="240"/>
        <w:jc w:val="center"/>
        <w:rPr>
          <w:b/>
          <w:color w:val="000000" w:themeColor="text1"/>
          <w:sz w:val="28"/>
          <w:szCs w:val="28"/>
          <w:lang w:val="uk-UA"/>
        </w:rPr>
      </w:pPr>
      <w:r w:rsidRPr="00DA67C9">
        <w:rPr>
          <w:b/>
          <w:color w:val="000000" w:themeColor="text1"/>
          <w:sz w:val="28"/>
          <w:szCs w:val="28"/>
          <w:lang w:val="uk-UA"/>
        </w:rPr>
        <w:t>7. Напрями діяльності та заходи/проєкти Програми розвитку туризму та промоції Вінницької міської територіальної громади на 2024-2026 роки</w:t>
      </w:r>
    </w:p>
    <w:tbl>
      <w:tblPr>
        <w:tblW w:w="16146" w:type="dxa"/>
        <w:tblInd w:w="-434" w:type="dxa"/>
        <w:tblBorders>
          <w:top w:val="nil"/>
          <w:left w:val="nil"/>
          <w:bottom w:val="nil"/>
          <w:right w:val="nil"/>
          <w:insideH w:val="nil"/>
          <w:insideV w:val="nil"/>
        </w:tblBorders>
        <w:tblLayout w:type="fixed"/>
        <w:tblLook w:val="0600" w:firstRow="0" w:lastRow="0" w:firstColumn="0" w:lastColumn="0" w:noHBand="1" w:noVBand="1"/>
      </w:tblPr>
      <w:tblGrid>
        <w:gridCol w:w="567"/>
        <w:gridCol w:w="2438"/>
        <w:gridCol w:w="2450"/>
        <w:gridCol w:w="12"/>
        <w:gridCol w:w="1090"/>
        <w:gridCol w:w="12"/>
        <w:gridCol w:w="1749"/>
        <w:gridCol w:w="12"/>
        <w:gridCol w:w="1310"/>
        <w:gridCol w:w="992"/>
        <w:gridCol w:w="993"/>
        <w:gridCol w:w="992"/>
        <w:gridCol w:w="992"/>
        <w:gridCol w:w="2537"/>
      </w:tblGrid>
      <w:tr w:rsidR="00DA0D1B" w:rsidRPr="00DA67C9" w:rsidTr="008438B5">
        <w:trPr>
          <w:trHeight w:val="525"/>
          <w:tblHeader/>
        </w:trPr>
        <w:tc>
          <w:tcPr>
            <w:tcW w:w="567" w:type="dxa"/>
            <w:vMerge w:val="restart"/>
            <w:tcBorders>
              <w:top w:val="single" w:sz="6" w:space="0" w:color="000000"/>
              <w:left w:val="single" w:sz="6" w:space="0" w:color="000000"/>
              <w:bottom w:val="single" w:sz="6" w:space="0" w:color="000000"/>
              <w:right w:val="single" w:sz="6" w:space="0" w:color="000000"/>
            </w:tcBorders>
            <w:shd w:val="clear" w:color="auto" w:fill="F2F2F2"/>
            <w:tcMar>
              <w:top w:w="0" w:type="dxa"/>
              <w:left w:w="40" w:type="dxa"/>
              <w:bottom w:w="0" w:type="dxa"/>
              <w:right w:w="40" w:type="dxa"/>
            </w:tcMar>
            <w:vAlign w:val="center"/>
          </w:tcPr>
          <w:p w:rsidR="00DA0D1B" w:rsidRPr="00DA67C9" w:rsidRDefault="00DA0D1B" w:rsidP="008438B5">
            <w:pPr>
              <w:jc w:val="center"/>
              <w:rPr>
                <w:b/>
                <w:sz w:val="20"/>
                <w:lang w:val="uk-UA" w:eastAsia="uk-UA"/>
              </w:rPr>
            </w:pPr>
            <w:r w:rsidRPr="00DA67C9">
              <w:rPr>
                <w:b/>
                <w:sz w:val="20"/>
                <w:lang w:val="uk-UA" w:eastAsia="uk-UA"/>
              </w:rPr>
              <w:t>№</w:t>
            </w:r>
          </w:p>
        </w:tc>
        <w:tc>
          <w:tcPr>
            <w:tcW w:w="2438" w:type="dxa"/>
            <w:vMerge w:val="restart"/>
            <w:tcBorders>
              <w:top w:val="single" w:sz="6" w:space="0" w:color="000000"/>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rsidR="00DA0D1B" w:rsidRPr="00DA67C9" w:rsidRDefault="00DA0D1B" w:rsidP="008438B5">
            <w:pPr>
              <w:jc w:val="center"/>
              <w:rPr>
                <w:b/>
                <w:sz w:val="20"/>
                <w:lang w:val="uk-UA" w:eastAsia="uk-UA"/>
              </w:rPr>
            </w:pPr>
            <w:r w:rsidRPr="00DA67C9">
              <w:rPr>
                <w:b/>
                <w:sz w:val="20"/>
                <w:lang w:val="uk-UA" w:eastAsia="uk-UA"/>
              </w:rPr>
              <w:t>Назва напряму діяльності (пріоритетні завдання)</w:t>
            </w:r>
          </w:p>
        </w:tc>
        <w:tc>
          <w:tcPr>
            <w:tcW w:w="2450" w:type="dxa"/>
            <w:vMerge w:val="restart"/>
            <w:tcBorders>
              <w:top w:val="single" w:sz="6" w:space="0" w:color="000000"/>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rsidR="00DA0D1B" w:rsidRPr="00DA67C9" w:rsidRDefault="00DA0D1B" w:rsidP="008438B5">
            <w:pPr>
              <w:jc w:val="center"/>
              <w:rPr>
                <w:b/>
                <w:sz w:val="20"/>
                <w:lang w:val="uk-UA" w:eastAsia="uk-UA"/>
              </w:rPr>
            </w:pPr>
            <w:r w:rsidRPr="00DA67C9">
              <w:rPr>
                <w:b/>
                <w:sz w:val="20"/>
                <w:lang w:val="uk-UA" w:eastAsia="uk-UA"/>
              </w:rPr>
              <w:t>Перелік заходів/проєктів програми</w:t>
            </w:r>
          </w:p>
        </w:tc>
        <w:tc>
          <w:tcPr>
            <w:tcW w:w="1102" w:type="dxa"/>
            <w:gridSpan w:val="2"/>
            <w:vMerge w:val="restart"/>
            <w:tcBorders>
              <w:top w:val="single" w:sz="6" w:space="0" w:color="000000"/>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rsidR="00DA0D1B" w:rsidRPr="00DA67C9" w:rsidRDefault="00DA0D1B" w:rsidP="008438B5">
            <w:pPr>
              <w:jc w:val="center"/>
              <w:rPr>
                <w:b/>
                <w:sz w:val="20"/>
                <w:lang w:val="uk-UA" w:eastAsia="uk-UA"/>
              </w:rPr>
            </w:pPr>
            <w:r w:rsidRPr="00DA67C9">
              <w:rPr>
                <w:b/>
                <w:sz w:val="20"/>
                <w:lang w:val="uk-UA" w:eastAsia="uk-UA"/>
              </w:rPr>
              <w:t>Терміни виконання заходу/</w:t>
            </w:r>
          </w:p>
          <w:p w:rsidR="00DA0D1B" w:rsidRPr="00DA67C9" w:rsidRDefault="00DA0D1B" w:rsidP="008438B5">
            <w:pPr>
              <w:jc w:val="center"/>
              <w:rPr>
                <w:b/>
                <w:sz w:val="20"/>
                <w:lang w:val="uk-UA" w:eastAsia="uk-UA"/>
              </w:rPr>
            </w:pPr>
            <w:r w:rsidRPr="00DA67C9">
              <w:rPr>
                <w:b/>
                <w:sz w:val="20"/>
                <w:lang w:val="uk-UA" w:eastAsia="uk-UA"/>
              </w:rPr>
              <w:t>проєкту</w:t>
            </w:r>
          </w:p>
          <w:p w:rsidR="00DA0D1B" w:rsidRPr="00DA67C9" w:rsidRDefault="00DA0D1B" w:rsidP="008438B5">
            <w:pPr>
              <w:jc w:val="center"/>
              <w:rPr>
                <w:b/>
                <w:sz w:val="20"/>
                <w:lang w:val="uk-UA" w:eastAsia="uk-UA"/>
              </w:rPr>
            </w:pPr>
            <w:r w:rsidRPr="00DA67C9">
              <w:rPr>
                <w:b/>
                <w:sz w:val="20"/>
                <w:lang w:val="uk-UA" w:eastAsia="uk-UA"/>
              </w:rPr>
              <w:t>(з розбивкою по роках)</w:t>
            </w:r>
          </w:p>
        </w:tc>
        <w:tc>
          <w:tcPr>
            <w:tcW w:w="1761" w:type="dxa"/>
            <w:gridSpan w:val="2"/>
            <w:vMerge w:val="restart"/>
            <w:tcBorders>
              <w:top w:val="single" w:sz="6" w:space="0" w:color="000000"/>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rsidR="00DA0D1B" w:rsidRPr="00DA67C9" w:rsidRDefault="00DA0D1B" w:rsidP="008438B5">
            <w:pPr>
              <w:jc w:val="center"/>
              <w:rPr>
                <w:b/>
                <w:sz w:val="20"/>
                <w:lang w:val="uk-UA" w:eastAsia="uk-UA"/>
              </w:rPr>
            </w:pPr>
            <w:r w:rsidRPr="00DA67C9">
              <w:rPr>
                <w:b/>
                <w:sz w:val="20"/>
                <w:lang w:val="uk-UA" w:eastAsia="uk-UA"/>
              </w:rPr>
              <w:t>Виконавці</w:t>
            </w:r>
          </w:p>
        </w:tc>
        <w:tc>
          <w:tcPr>
            <w:tcW w:w="1322" w:type="dxa"/>
            <w:gridSpan w:val="2"/>
            <w:vMerge w:val="restart"/>
            <w:tcBorders>
              <w:top w:val="single" w:sz="6" w:space="0" w:color="000000"/>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rsidR="00DA0D1B" w:rsidRPr="00DA67C9" w:rsidRDefault="00DA0D1B" w:rsidP="008438B5">
            <w:pPr>
              <w:jc w:val="center"/>
              <w:rPr>
                <w:b/>
                <w:sz w:val="20"/>
                <w:lang w:val="uk-UA" w:eastAsia="uk-UA"/>
              </w:rPr>
            </w:pPr>
            <w:r w:rsidRPr="00DA67C9">
              <w:rPr>
                <w:b/>
                <w:sz w:val="20"/>
                <w:lang w:val="uk-UA" w:eastAsia="uk-UA"/>
              </w:rPr>
              <w:t>Джерела фінансування</w:t>
            </w:r>
          </w:p>
        </w:tc>
        <w:tc>
          <w:tcPr>
            <w:tcW w:w="3969" w:type="dxa"/>
            <w:gridSpan w:val="4"/>
            <w:vMerge w:val="restart"/>
            <w:tcBorders>
              <w:top w:val="single" w:sz="6" w:space="0" w:color="000000"/>
              <w:left w:val="single" w:sz="6" w:space="0" w:color="CCCCCC"/>
              <w:bottom w:val="single" w:sz="6" w:space="0" w:color="000000"/>
              <w:right w:val="single" w:sz="4" w:space="0" w:color="auto"/>
            </w:tcBorders>
            <w:shd w:val="clear" w:color="auto" w:fill="F2F2F2"/>
            <w:tcMar>
              <w:top w:w="0" w:type="dxa"/>
              <w:left w:w="40" w:type="dxa"/>
              <w:bottom w:w="0" w:type="dxa"/>
              <w:right w:w="40" w:type="dxa"/>
            </w:tcMar>
            <w:vAlign w:val="center"/>
          </w:tcPr>
          <w:p w:rsidR="00DA0D1B" w:rsidRPr="00DA67C9" w:rsidRDefault="00DA0D1B" w:rsidP="008438B5">
            <w:pPr>
              <w:jc w:val="center"/>
              <w:rPr>
                <w:b/>
                <w:sz w:val="20"/>
                <w:lang w:val="uk-UA" w:eastAsia="uk-UA"/>
              </w:rPr>
            </w:pPr>
            <w:r w:rsidRPr="00DA67C9">
              <w:rPr>
                <w:b/>
                <w:sz w:val="20"/>
                <w:lang w:val="uk-UA" w:eastAsia="uk-UA"/>
              </w:rPr>
              <w:t>Орієнтовні обсяги фінансування</w:t>
            </w:r>
          </w:p>
        </w:tc>
        <w:tc>
          <w:tcPr>
            <w:tcW w:w="2537" w:type="dxa"/>
            <w:vMerge w:val="restart"/>
            <w:tcBorders>
              <w:top w:val="single" w:sz="6" w:space="0" w:color="000000"/>
              <w:left w:val="single" w:sz="4" w:space="0" w:color="auto"/>
              <w:bottom w:val="single" w:sz="6" w:space="0" w:color="000000"/>
              <w:right w:val="single" w:sz="6" w:space="0" w:color="000000"/>
            </w:tcBorders>
            <w:shd w:val="clear" w:color="auto" w:fill="F2F2F2" w:themeFill="background1" w:themeFillShade="F2"/>
            <w:tcMar>
              <w:top w:w="0" w:type="dxa"/>
              <w:left w:w="40" w:type="dxa"/>
              <w:bottom w:w="0" w:type="dxa"/>
              <w:right w:w="40" w:type="dxa"/>
            </w:tcMar>
            <w:vAlign w:val="center"/>
          </w:tcPr>
          <w:p w:rsidR="00DA0D1B" w:rsidRPr="00DA67C9" w:rsidRDefault="00DA0D1B" w:rsidP="008438B5">
            <w:pPr>
              <w:jc w:val="center"/>
              <w:rPr>
                <w:b/>
                <w:sz w:val="20"/>
                <w:lang w:val="uk-UA" w:eastAsia="uk-UA"/>
              </w:rPr>
            </w:pPr>
            <w:r w:rsidRPr="00DA67C9">
              <w:rPr>
                <w:b/>
                <w:sz w:val="20"/>
                <w:lang w:val="uk-UA" w:eastAsia="uk-UA"/>
              </w:rPr>
              <w:t>Очікувані результати</w:t>
            </w:r>
          </w:p>
        </w:tc>
      </w:tr>
      <w:tr w:rsidR="00DA0D1B" w:rsidRPr="00DA67C9" w:rsidTr="008438B5">
        <w:trPr>
          <w:trHeight w:val="773"/>
        </w:trPr>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A0D1B" w:rsidRPr="00DA67C9" w:rsidRDefault="00DA0D1B" w:rsidP="008438B5">
            <w:pPr>
              <w:spacing w:before="240" w:after="240"/>
              <w:rPr>
                <w:rFonts w:ascii="Calibri" w:eastAsia="Calibri" w:hAnsi="Calibri" w:cs="Calibri"/>
                <w:b/>
                <w:lang w:val="uk-UA" w:eastAsia="uk-UA"/>
              </w:rPr>
            </w:pPr>
          </w:p>
        </w:tc>
        <w:tc>
          <w:tcPr>
            <w:tcW w:w="2438"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DA0D1B" w:rsidRPr="00DA67C9" w:rsidRDefault="00DA0D1B" w:rsidP="008438B5">
            <w:pPr>
              <w:spacing w:before="240" w:after="240"/>
              <w:rPr>
                <w:rFonts w:ascii="Calibri" w:eastAsia="Calibri" w:hAnsi="Calibri" w:cs="Calibri"/>
                <w:b/>
                <w:lang w:val="uk-UA" w:eastAsia="uk-UA"/>
              </w:rPr>
            </w:pPr>
          </w:p>
        </w:tc>
        <w:tc>
          <w:tcPr>
            <w:tcW w:w="2450"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DA0D1B" w:rsidRPr="00DA67C9" w:rsidRDefault="00DA0D1B" w:rsidP="008438B5">
            <w:pPr>
              <w:spacing w:before="240" w:after="240"/>
              <w:rPr>
                <w:rFonts w:ascii="Calibri" w:eastAsia="Calibri" w:hAnsi="Calibri" w:cs="Calibri"/>
                <w:b/>
                <w:lang w:val="uk-UA" w:eastAsia="uk-UA"/>
              </w:rPr>
            </w:pPr>
          </w:p>
        </w:tc>
        <w:tc>
          <w:tcPr>
            <w:tcW w:w="1102" w:type="dxa"/>
            <w:gridSpan w:val="2"/>
            <w:vMerge/>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rsidR="00DA0D1B" w:rsidRPr="00DA67C9" w:rsidRDefault="00DA0D1B" w:rsidP="008438B5">
            <w:pPr>
              <w:rPr>
                <w:lang w:val="uk-UA" w:eastAsia="uk-UA"/>
              </w:rPr>
            </w:pPr>
          </w:p>
        </w:tc>
        <w:tc>
          <w:tcPr>
            <w:tcW w:w="1761" w:type="dxa"/>
            <w:gridSpan w:val="2"/>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DA0D1B" w:rsidRPr="00DA67C9" w:rsidRDefault="00DA0D1B" w:rsidP="008438B5">
            <w:pPr>
              <w:spacing w:before="240" w:after="240"/>
              <w:rPr>
                <w:rFonts w:ascii="Calibri" w:eastAsia="Calibri" w:hAnsi="Calibri" w:cs="Calibri"/>
                <w:b/>
                <w:lang w:val="uk-UA" w:eastAsia="uk-UA"/>
              </w:rPr>
            </w:pPr>
          </w:p>
        </w:tc>
        <w:tc>
          <w:tcPr>
            <w:tcW w:w="1322" w:type="dxa"/>
            <w:gridSpan w:val="2"/>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DA0D1B" w:rsidRPr="00DA67C9" w:rsidRDefault="00DA0D1B" w:rsidP="008438B5">
            <w:pPr>
              <w:rPr>
                <w:rFonts w:ascii="Calibri" w:eastAsia="Calibri" w:hAnsi="Calibri" w:cs="Calibri"/>
                <w:b/>
                <w:lang w:val="uk-UA" w:eastAsia="uk-UA"/>
              </w:rPr>
            </w:pPr>
          </w:p>
        </w:tc>
        <w:tc>
          <w:tcPr>
            <w:tcW w:w="3969" w:type="dxa"/>
            <w:gridSpan w:val="4"/>
            <w:vMerge/>
            <w:tcBorders>
              <w:top w:val="single" w:sz="6" w:space="0" w:color="000000"/>
              <w:left w:val="single" w:sz="6" w:space="0" w:color="CCCCCC"/>
              <w:bottom w:val="single" w:sz="6" w:space="0" w:color="000000"/>
              <w:right w:val="single" w:sz="4" w:space="0" w:color="auto"/>
            </w:tcBorders>
            <w:shd w:val="clear" w:color="auto" w:fill="auto"/>
            <w:tcMar>
              <w:top w:w="100" w:type="dxa"/>
              <w:left w:w="100" w:type="dxa"/>
              <w:bottom w:w="100" w:type="dxa"/>
              <w:right w:w="100" w:type="dxa"/>
            </w:tcMar>
          </w:tcPr>
          <w:p w:rsidR="00DA0D1B" w:rsidRPr="00DA67C9" w:rsidRDefault="00DA0D1B" w:rsidP="008438B5">
            <w:pPr>
              <w:spacing w:before="240" w:after="240"/>
              <w:rPr>
                <w:rFonts w:ascii="Calibri" w:eastAsia="Calibri" w:hAnsi="Calibri" w:cs="Calibri"/>
                <w:b/>
                <w:lang w:val="uk-UA" w:eastAsia="uk-UA"/>
              </w:rPr>
            </w:pPr>
          </w:p>
        </w:tc>
        <w:tc>
          <w:tcPr>
            <w:tcW w:w="2537" w:type="dxa"/>
            <w:vMerge/>
            <w:tcBorders>
              <w:top w:val="single" w:sz="6" w:space="0" w:color="000000"/>
              <w:left w:val="single" w:sz="4" w:space="0" w:color="auto"/>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tcPr>
          <w:p w:rsidR="00DA0D1B" w:rsidRPr="00DA67C9" w:rsidRDefault="00DA0D1B" w:rsidP="008438B5">
            <w:pPr>
              <w:rPr>
                <w:rFonts w:ascii="Calibri" w:eastAsia="Calibri" w:hAnsi="Calibri" w:cs="Calibri"/>
                <w:b/>
                <w:lang w:val="uk-UA" w:eastAsia="uk-UA"/>
              </w:rPr>
            </w:pPr>
          </w:p>
        </w:tc>
      </w:tr>
      <w:tr w:rsidR="00DA0D1B" w:rsidRPr="00DA67C9" w:rsidTr="008438B5">
        <w:trPr>
          <w:trHeight w:val="517"/>
        </w:trPr>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A0D1B" w:rsidRPr="00DA67C9" w:rsidRDefault="00DA0D1B" w:rsidP="008438B5">
            <w:pPr>
              <w:spacing w:before="240" w:after="240"/>
              <w:rPr>
                <w:rFonts w:ascii="Calibri" w:eastAsia="Calibri" w:hAnsi="Calibri" w:cs="Calibri"/>
                <w:b/>
                <w:lang w:val="uk-UA" w:eastAsia="uk-UA"/>
              </w:rPr>
            </w:pPr>
          </w:p>
        </w:tc>
        <w:tc>
          <w:tcPr>
            <w:tcW w:w="2438"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DA0D1B" w:rsidRPr="00DA67C9" w:rsidRDefault="00DA0D1B" w:rsidP="008438B5">
            <w:pPr>
              <w:spacing w:before="240" w:after="240"/>
              <w:rPr>
                <w:rFonts w:ascii="Calibri" w:eastAsia="Calibri" w:hAnsi="Calibri" w:cs="Calibri"/>
                <w:b/>
                <w:lang w:val="uk-UA" w:eastAsia="uk-UA"/>
              </w:rPr>
            </w:pPr>
          </w:p>
        </w:tc>
        <w:tc>
          <w:tcPr>
            <w:tcW w:w="2450"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DA0D1B" w:rsidRPr="00DA67C9" w:rsidRDefault="00DA0D1B" w:rsidP="008438B5">
            <w:pPr>
              <w:spacing w:before="240" w:after="240"/>
              <w:rPr>
                <w:rFonts w:ascii="Calibri" w:eastAsia="Calibri" w:hAnsi="Calibri" w:cs="Calibri"/>
                <w:b/>
                <w:lang w:val="uk-UA" w:eastAsia="uk-UA"/>
              </w:rPr>
            </w:pPr>
          </w:p>
        </w:tc>
        <w:tc>
          <w:tcPr>
            <w:tcW w:w="1102" w:type="dxa"/>
            <w:gridSpan w:val="2"/>
            <w:vMerge/>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rsidR="00DA0D1B" w:rsidRPr="00DA67C9" w:rsidRDefault="00DA0D1B" w:rsidP="008438B5">
            <w:pPr>
              <w:rPr>
                <w:lang w:val="uk-UA" w:eastAsia="uk-UA"/>
              </w:rPr>
            </w:pPr>
          </w:p>
        </w:tc>
        <w:tc>
          <w:tcPr>
            <w:tcW w:w="1761" w:type="dxa"/>
            <w:gridSpan w:val="2"/>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DA0D1B" w:rsidRPr="00DA67C9" w:rsidRDefault="00DA0D1B" w:rsidP="008438B5">
            <w:pPr>
              <w:spacing w:before="240" w:after="240"/>
              <w:rPr>
                <w:rFonts w:ascii="Calibri" w:eastAsia="Calibri" w:hAnsi="Calibri" w:cs="Calibri"/>
                <w:b/>
                <w:lang w:val="uk-UA" w:eastAsia="uk-UA"/>
              </w:rPr>
            </w:pPr>
          </w:p>
        </w:tc>
        <w:tc>
          <w:tcPr>
            <w:tcW w:w="1322" w:type="dxa"/>
            <w:gridSpan w:val="2"/>
            <w:vMerge/>
            <w:tcBorders>
              <w:top w:val="single" w:sz="6" w:space="0" w:color="CCCCCC"/>
              <w:left w:val="single" w:sz="6" w:space="0" w:color="CCCCCC"/>
              <w:bottom w:val="single" w:sz="6" w:space="0" w:color="000000"/>
              <w:right w:val="single" w:sz="6" w:space="0" w:color="000000"/>
            </w:tcBorders>
            <w:shd w:val="clear" w:color="auto" w:fill="EFEFEF"/>
            <w:tcMar>
              <w:top w:w="0" w:type="dxa"/>
              <w:left w:w="40" w:type="dxa"/>
              <w:bottom w:w="0" w:type="dxa"/>
              <w:right w:w="40" w:type="dxa"/>
            </w:tcMar>
            <w:vAlign w:val="center"/>
          </w:tcPr>
          <w:p w:rsidR="00DA0D1B" w:rsidRPr="00DA67C9" w:rsidRDefault="00DA0D1B" w:rsidP="008438B5">
            <w:pPr>
              <w:rPr>
                <w:lang w:val="uk-UA" w:eastAsia="uk-UA"/>
              </w:rPr>
            </w:pPr>
          </w:p>
        </w:tc>
        <w:tc>
          <w:tcPr>
            <w:tcW w:w="992" w:type="dxa"/>
            <w:vMerge w:val="restart"/>
            <w:tcBorders>
              <w:top w:val="single" w:sz="6" w:space="0" w:color="CCCCCC"/>
              <w:left w:val="single" w:sz="6" w:space="0" w:color="CCCCCC"/>
              <w:bottom w:val="single" w:sz="6" w:space="0" w:color="000000"/>
              <w:right w:val="single" w:sz="6" w:space="0" w:color="000000"/>
            </w:tcBorders>
            <w:shd w:val="clear" w:color="auto" w:fill="EFEFEF"/>
            <w:tcMar>
              <w:top w:w="0" w:type="dxa"/>
              <w:left w:w="40" w:type="dxa"/>
              <w:bottom w:w="0" w:type="dxa"/>
              <w:right w:w="40" w:type="dxa"/>
            </w:tcMar>
            <w:vAlign w:val="center"/>
          </w:tcPr>
          <w:p w:rsidR="00DA0D1B" w:rsidRPr="00DA67C9" w:rsidRDefault="00DA0D1B" w:rsidP="008438B5">
            <w:pPr>
              <w:jc w:val="center"/>
              <w:rPr>
                <w:b/>
                <w:sz w:val="20"/>
                <w:szCs w:val="20"/>
                <w:lang w:val="uk-UA" w:eastAsia="uk-UA"/>
              </w:rPr>
            </w:pPr>
            <w:r w:rsidRPr="00DA67C9">
              <w:rPr>
                <w:b/>
                <w:sz w:val="20"/>
                <w:szCs w:val="20"/>
                <w:lang w:val="uk-UA" w:eastAsia="uk-UA"/>
              </w:rPr>
              <w:t>Всього,</w:t>
            </w:r>
          </w:p>
          <w:p w:rsidR="00DA0D1B" w:rsidRPr="00DA67C9" w:rsidRDefault="00DA0D1B" w:rsidP="008438B5">
            <w:pPr>
              <w:rPr>
                <w:sz w:val="20"/>
                <w:szCs w:val="20"/>
                <w:lang w:val="uk-UA" w:eastAsia="uk-UA"/>
              </w:rPr>
            </w:pPr>
            <w:r w:rsidRPr="00DA67C9">
              <w:rPr>
                <w:b/>
                <w:sz w:val="20"/>
                <w:szCs w:val="20"/>
                <w:lang w:val="uk-UA" w:eastAsia="uk-UA"/>
              </w:rPr>
              <w:t>тис. грн</w:t>
            </w:r>
          </w:p>
        </w:tc>
        <w:tc>
          <w:tcPr>
            <w:tcW w:w="2977" w:type="dxa"/>
            <w:gridSpan w:val="3"/>
            <w:tcBorders>
              <w:top w:val="single" w:sz="6" w:space="0" w:color="CCCCCC"/>
              <w:left w:val="single" w:sz="6" w:space="0" w:color="CCCCCC"/>
              <w:bottom w:val="single" w:sz="6" w:space="0" w:color="000000"/>
              <w:right w:val="single" w:sz="4" w:space="0" w:color="auto"/>
            </w:tcBorders>
            <w:shd w:val="clear" w:color="auto" w:fill="F2F2F2"/>
            <w:tcMar>
              <w:top w:w="0" w:type="dxa"/>
              <w:left w:w="40" w:type="dxa"/>
              <w:bottom w:w="0" w:type="dxa"/>
              <w:right w:w="40" w:type="dxa"/>
            </w:tcMar>
            <w:vAlign w:val="center"/>
          </w:tcPr>
          <w:p w:rsidR="00DA0D1B" w:rsidRPr="00DA67C9" w:rsidRDefault="00DA0D1B" w:rsidP="008438B5">
            <w:pPr>
              <w:jc w:val="center"/>
              <w:rPr>
                <w:sz w:val="20"/>
                <w:szCs w:val="20"/>
                <w:lang w:val="uk-UA" w:eastAsia="uk-UA"/>
              </w:rPr>
            </w:pPr>
            <w:r w:rsidRPr="00DA67C9">
              <w:rPr>
                <w:b/>
                <w:sz w:val="20"/>
                <w:szCs w:val="20"/>
                <w:lang w:val="uk-UA" w:eastAsia="uk-UA"/>
              </w:rPr>
              <w:t>За роками виконання,  тис. грн</w:t>
            </w:r>
          </w:p>
        </w:tc>
        <w:tc>
          <w:tcPr>
            <w:tcW w:w="2537" w:type="dxa"/>
            <w:vMerge/>
            <w:tcBorders>
              <w:top w:val="single" w:sz="6" w:space="0" w:color="CCCCCC"/>
              <w:left w:val="single" w:sz="4" w:space="0" w:color="auto"/>
              <w:bottom w:val="single" w:sz="6" w:space="0" w:color="000000"/>
              <w:right w:val="single" w:sz="6" w:space="0" w:color="000000"/>
            </w:tcBorders>
            <w:shd w:val="clear" w:color="auto" w:fill="F2F2F2" w:themeFill="background1" w:themeFillShade="F2"/>
            <w:tcMar>
              <w:top w:w="0" w:type="dxa"/>
              <w:left w:w="40" w:type="dxa"/>
              <w:bottom w:w="0" w:type="dxa"/>
              <w:right w:w="40" w:type="dxa"/>
            </w:tcMar>
            <w:vAlign w:val="center"/>
          </w:tcPr>
          <w:p w:rsidR="00DA0D1B" w:rsidRPr="00DA67C9" w:rsidRDefault="00DA0D1B" w:rsidP="008438B5">
            <w:pPr>
              <w:rPr>
                <w:lang w:val="uk-UA" w:eastAsia="uk-UA"/>
              </w:rPr>
            </w:pPr>
          </w:p>
        </w:tc>
      </w:tr>
      <w:tr w:rsidR="00DA0D1B" w:rsidRPr="00DA67C9" w:rsidTr="008438B5">
        <w:trPr>
          <w:trHeight w:val="20"/>
        </w:trPr>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DA0D1B" w:rsidRPr="00DA67C9" w:rsidRDefault="00DA0D1B" w:rsidP="008438B5">
            <w:pPr>
              <w:spacing w:before="240" w:after="240"/>
              <w:rPr>
                <w:rFonts w:ascii="Calibri" w:eastAsia="Calibri" w:hAnsi="Calibri" w:cs="Calibri"/>
                <w:b/>
                <w:lang w:val="uk-UA" w:eastAsia="uk-UA"/>
              </w:rPr>
            </w:pPr>
          </w:p>
        </w:tc>
        <w:tc>
          <w:tcPr>
            <w:tcW w:w="2438"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DA0D1B" w:rsidRPr="00DA67C9" w:rsidRDefault="00DA0D1B" w:rsidP="008438B5">
            <w:pPr>
              <w:spacing w:before="240" w:after="240"/>
              <w:rPr>
                <w:rFonts w:ascii="Calibri" w:eastAsia="Calibri" w:hAnsi="Calibri" w:cs="Calibri"/>
                <w:b/>
                <w:lang w:val="uk-UA" w:eastAsia="uk-UA"/>
              </w:rPr>
            </w:pPr>
          </w:p>
        </w:tc>
        <w:tc>
          <w:tcPr>
            <w:tcW w:w="2450"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DA0D1B" w:rsidRPr="00DA67C9" w:rsidRDefault="00DA0D1B" w:rsidP="008438B5">
            <w:pPr>
              <w:spacing w:before="240" w:after="240"/>
              <w:rPr>
                <w:rFonts w:ascii="Calibri" w:eastAsia="Calibri" w:hAnsi="Calibri" w:cs="Calibri"/>
                <w:b/>
                <w:lang w:val="uk-UA" w:eastAsia="uk-UA"/>
              </w:rPr>
            </w:pPr>
          </w:p>
        </w:tc>
        <w:tc>
          <w:tcPr>
            <w:tcW w:w="1102" w:type="dxa"/>
            <w:gridSpan w:val="2"/>
            <w:vMerge/>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rsidR="00DA0D1B" w:rsidRPr="00DA67C9" w:rsidRDefault="00DA0D1B" w:rsidP="008438B5">
            <w:pPr>
              <w:rPr>
                <w:lang w:val="uk-UA" w:eastAsia="uk-UA"/>
              </w:rPr>
            </w:pPr>
          </w:p>
        </w:tc>
        <w:tc>
          <w:tcPr>
            <w:tcW w:w="1761" w:type="dxa"/>
            <w:gridSpan w:val="2"/>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DA0D1B" w:rsidRPr="00DA67C9" w:rsidRDefault="00DA0D1B" w:rsidP="008438B5">
            <w:pPr>
              <w:spacing w:before="240" w:after="240"/>
              <w:rPr>
                <w:rFonts w:ascii="Calibri" w:eastAsia="Calibri" w:hAnsi="Calibri" w:cs="Calibri"/>
                <w:b/>
                <w:lang w:val="uk-UA" w:eastAsia="uk-UA"/>
              </w:rPr>
            </w:pPr>
          </w:p>
        </w:tc>
        <w:tc>
          <w:tcPr>
            <w:tcW w:w="1322" w:type="dxa"/>
            <w:gridSpan w:val="2"/>
            <w:vMerge/>
            <w:tcBorders>
              <w:top w:val="single" w:sz="6" w:space="0" w:color="CCCCCC"/>
              <w:left w:val="single" w:sz="6" w:space="0" w:color="CCCCCC"/>
              <w:bottom w:val="single" w:sz="6" w:space="0" w:color="000000"/>
              <w:right w:val="single" w:sz="6" w:space="0" w:color="000000"/>
            </w:tcBorders>
            <w:shd w:val="clear" w:color="auto" w:fill="EFEFEF"/>
            <w:tcMar>
              <w:top w:w="0" w:type="dxa"/>
              <w:left w:w="40" w:type="dxa"/>
              <w:bottom w:w="0" w:type="dxa"/>
              <w:right w:w="40" w:type="dxa"/>
            </w:tcMar>
            <w:vAlign w:val="center"/>
          </w:tcPr>
          <w:p w:rsidR="00DA0D1B" w:rsidRPr="00DA67C9" w:rsidRDefault="00DA0D1B" w:rsidP="008438B5">
            <w:pPr>
              <w:rPr>
                <w:lang w:val="uk-UA" w:eastAsia="uk-UA"/>
              </w:rPr>
            </w:pPr>
          </w:p>
        </w:tc>
        <w:tc>
          <w:tcPr>
            <w:tcW w:w="992" w:type="dxa"/>
            <w:vMerge/>
            <w:tcBorders>
              <w:top w:val="single" w:sz="6" w:space="0" w:color="CCCCCC"/>
              <w:left w:val="single" w:sz="6" w:space="0" w:color="CCCCCC"/>
              <w:bottom w:val="single" w:sz="6" w:space="0" w:color="000000"/>
              <w:right w:val="single" w:sz="6" w:space="0" w:color="000000"/>
            </w:tcBorders>
            <w:shd w:val="clear" w:color="auto" w:fill="EFEFEF"/>
            <w:tcMar>
              <w:top w:w="0" w:type="dxa"/>
              <w:left w:w="40" w:type="dxa"/>
              <w:bottom w:w="0" w:type="dxa"/>
              <w:right w:w="40" w:type="dxa"/>
            </w:tcMar>
            <w:vAlign w:val="center"/>
          </w:tcPr>
          <w:p w:rsidR="00DA0D1B" w:rsidRPr="00DA67C9" w:rsidRDefault="00DA0D1B" w:rsidP="008438B5">
            <w:pPr>
              <w:rPr>
                <w:sz w:val="20"/>
                <w:szCs w:val="20"/>
                <w:lang w:val="uk-UA" w:eastAsia="uk-UA"/>
              </w:rPr>
            </w:pPr>
          </w:p>
        </w:tc>
        <w:tc>
          <w:tcPr>
            <w:tcW w:w="993"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rsidR="00DA0D1B" w:rsidRPr="00DA67C9" w:rsidRDefault="00DA0D1B" w:rsidP="008438B5">
            <w:pPr>
              <w:jc w:val="center"/>
              <w:rPr>
                <w:b/>
                <w:sz w:val="20"/>
                <w:szCs w:val="20"/>
                <w:lang w:val="uk-UA" w:eastAsia="uk-UA"/>
              </w:rPr>
            </w:pPr>
            <w:r w:rsidRPr="00DA67C9">
              <w:rPr>
                <w:b/>
                <w:sz w:val="20"/>
                <w:szCs w:val="20"/>
                <w:lang w:val="uk-UA" w:eastAsia="uk-UA"/>
              </w:rPr>
              <w:t>2024</w:t>
            </w:r>
          </w:p>
        </w:tc>
        <w:tc>
          <w:tcPr>
            <w:tcW w:w="992" w:type="dxa"/>
            <w:tcBorders>
              <w:top w:val="single" w:sz="6" w:space="0" w:color="CCCCCC"/>
              <w:left w:val="single" w:sz="6" w:space="0" w:color="CCCCCC"/>
              <w:bottom w:val="single" w:sz="6" w:space="0" w:color="000000"/>
              <w:right w:val="single" w:sz="4" w:space="0" w:color="auto"/>
            </w:tcBorders>
            <w:shd w:val="clear" w:color="auto" w:fill="F2F2F2"/>
            <w:tcMar>
              <w:top w:w="0" w:type="dxa"/>
              <w:left w:w="40" w:type="dxa"/>
              <w:bottom w:w="0" w:type="dxa"/>
              <w:right w:w="40" w:type="dxa"/>
            </w:tcMar>
            <w:vAlign w:val="center"/>
          </w:tcPr>
          <w:p w:rsidR="00DA0D1B" w:rsidRPr="00DA67C9" w:rsidRDefault="00DA0D1B" w:rsidP="008438B5">
            <w:pPr>
              <w:jc w:val="center"/>
              <w:rPr>
                <w:b/>
                <w:sz w:val="20"/>
                <w:szCs w:val="20"/>
                <w:lang w:val="uk-UA" w:eastAsia="uk-UA"/>
              </w:rPr>
            </w:pPr>
            <w:r w:rsidRPr="00DA67C9">
              <w:rPr>
                <w:b/>
                <w:sz w:val="20"/>
                <w:szCs w:val="20"/>
                <w:lang w:val="uk-UA" w:eastAsia="uk-UA"/>
              </w:rPr>
              <w:t>2025</w:t>
            </w:r>
          </w:p>
        </w:tc>
        <w:tc>
          <w:tcPr>
            <w:tcW w:w="992" w:type="dxa"/>
            <w:tcBorders>
              <w:top w:val="single" w:sz="6" w:space="0" w:color="CCCCCC"/>
              <w:left w:val="single" w:sz="4" w:space="0" w:color="auto"/>
              <w:bottom w:val="single" w:sz="6" w:space="0" w:color="000000"/>
              <w:right w:val="single" w:sz="6" w:space="0" w:color="000000"/>
            </w:tcBorders>
            <w:shd w:val="clear" w:color="auto" w:fill="F2F2F2"/>
            <w:tcMar>
              <w:top w:w="0" w:type="dxa"/>
              <w:left w:w="40" w:type="dxa"/>
              <w:bottom w:w="0" w:type="dxa"/>
              <w:right w:w="40" w:type="dxa"/>
            </w:tcMar>
            <w:vAlign w:val="center"/>
          </w:tcPr>
          <w:p w:rsidR="00DA0D1B" w:rsidRPr="00DA67C9" w:rsidRDefault="00DA0D1B" w:rsidP="008438B5">
            <w:pPr>
              <w:jc w:val="center"/>
              <w:rPr>
                <w:b/>
                <w:sz w:val="20"/>
                <w:szCs w:val="20"/>
                <w:lang w:val="uk-UA" w:eastAsia="uk-UA"/>
              </w:rPr>
            </w:pPr>
            <w:r w:rsidRPr="00DA67C9">
              <w:rPr>
                <w:b/>
                <w:sz w:val="20"/>
                <w:szCs w:val="20"/>
                <w:lang w:val="uk-UA" w:eastAsia="uk-UA"/>
              </w:rPr>
              <w:t>2026</w:t>
            </w:r>
          </w:p>
        </w:tc>
        <w:tc>
          <w:tcPr>
            <w:tcW w:w="2537" w:type="dxa"/>
            <w:vMerge/>
            <w:tcBorders>
              <w:top w:val="single" w:sz="6" w:space="0" w:color="CCCCCC"/>
              <w:left w:val="single" w:sz="6" w:space="0" w:color="CCCCCC"/>
              <w:bottom w:val="single" w:sz="6" w:space="0" w:color="000000"/>
              <w:right w:val="single" w:sz="6" w:space="0" w:color="000000"/>
            </w:tcBorders>
            <w:shd w:val="clear" w:color="auto" w:fill="F2F2F2" w:themeFill="background1" w:themeFillShade="F2"/>
            <w:tcMar>
              <w:top w:w="0" w:type="dxa"/>
              <w:left w:w="40" w:type="dxa"/>
              <w:bottom w:w="0" w:type="dxa"/>
              <w:right w:w="40" w:type="dxa"/>
            </w:tcMar>
            <w:vAlign w:val="center"/>
          </w:tcPr>
          <w:p w:rsidR="00DA0D1B" w:rsidRPr="00DA67C9" w:rsidRDefault="00DA0D1B" w:rsidP="008438B5">
            <w:pPr>
              <w:rPr>
                <w:lang w:val="uk-UA" w:eastAsia="uk-UA"/>
              </w:rPr>
            </w:pPr>
          </w:p>
        </w:tc>
      </w:tr>
      <w:tr w:rsidR="00DA0D1B" w:rsidRPr="00DA67C9" w:rsidTr="008438B5">
        <w:trPr>
          <w:trHeight w:val="460"/>
        </w:trPr>
        <w:tc>
          <w:tcPr>
            <w:tcW w:w="9640" w:type="dxa"/>
            <w:gridSpan w:val="9"/>
            <w:tcBorders>
              <w:top w:val="single" w:sz="4" w:space="0" w:color="auto"/>
              <w:left w:val="single" w:sz="4" w:space="0" w:color="auto"/>
              <w:bottom w:val="nil"/>
              <w:right w:val="single" w:sz="6" w:space="0" w:color="000000"/>
            </w:tcBorders>
            <w:shd w:val="clear" w:color="auto" w:fill="FFFFFF" w:themeFill="background1"/>
            <w:tcMar>
              <w:top w:w="0" w:type="dxa"/>
              <w:left w:w="40" w:type="dxa"/>
              <w:bottom w:w="0" w:type="dxa"/>
              <w:right w:w="40" w:type="dxa"/>
            </w:tcMar>
            <w:vAlign w:val="center"/>
          </w:tcPr>
          <w:p w:rsidR="00DA0D1B" w:rsidRPr="00DA67C9" w:rsidRDefault="00DA0D1B" w:rsidP="008438B5">
            <w:pPr>
              <w:rPr>
                <w:rFonts w:eastAsia="Calibri"/>
                <w:lang w:val="uk-UA" w:eastAsia="uk-UA"/>
              </w:rPr>
            </w:pPr>
            <w:r w:rsidRPr="00DA67C9">
              <w:rPr>
                <w:b/>
                <w:lang w:val="uk-UA" w:eastAsia="uk-UA"/>
              </w:rPr>
              <w:t>1. РОЗВИТОК ТУРИЗМУ</w:t>
            </w:r>
          </w:p>
        </w:tc>
        <w:tc>
          <w:tcPr>
            <w:tcW w:w="992"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rsidR="00DA0D1B" w:rsidRPr="00DA67C9" w:rsidRDefault="00DA0D1B" w:rsidP="008438B5">
            <w:pPr>
              <w:spacing w:line="276" w:lineRule="auto"/>
              <w:ind w:left="-40"/>
              <w:jc w:val="right"/>
              <w:rPr>
                <w:rFonts w:ascii="Calibri" w:eastAsia="Calibri" w:hAnsi="Calibri" w:cs="Calibri"/>
                <w:sz w:val="22"/>
                <w:lang w:val="uk-UA" w:eastAsia="uk-UA"/>
              </w:rPr>
            </w:pPr>
            <w:r w:rsidRPr="00DA67C9">
              <w:rPr>
                <w:b/>
                <w:i/>
                <w:sz w:val="22"/>
                <w:lang w:val="uk-UA" w:eastAsia="uk-UA"/>
              </w:rPr>
              <w:t>17632,978</w:t>
            </w:r>
          </w:p>
        </w:tc>
        <w:tc>
          <w:tcPr>
            <w:tcW w:w="993"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rsidR="00DA0D1B" w:rsidRPr="00DA67C9" w:rsidRDefault="00DA0D1B" w:rsidP="008438B5">
            <w:pPr>
              <w:spacing w:line="276" w:lineRule="auto"/>
              <w:ind w:left="-46"/>
              <w:jc w:val="right"/>
              <w:rPr>
                <w:rFonts w:ascii="Calibri" w:eastAsia="Calibri" w:hAnsi="Calibri" w:cs="Calibri"/>
                <w:sz w:val="22"/>
                <w:lang w:val="uk-UA" w:eastAsia="uk-UA"/>
              </w:rPr>
            </w:pPr>
            <w:r w:rsidRPr="00DA67C9">
              <w:rPr>
                <w:b/>
                <w:i/>
                <w:sz w:val="22"/>
                <w:lang w:val="uk-UA" w:eastAsia="uk-UA"/>
              </w:rPr>
              <w:t>5064,278</w:t>
            </w:r>
          </w:p>
        </w:tc>
        <w:tc>
          <w:tcPr>
            <w:tcW w:w="992"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rsidR="00DA0D1B" w:rsidRPr="00DA67C9" w:rsidRDefault="00DA0D1B" w:rsidP="008438B5">
            <w:pPr>
              <w:spacing w:line="276" w:lineRule="auto"/>
              <w:jc w:val="right"/>
              <w:rPr>
                <w:rFonts w:ascii="Calibri" w:eastAsia="Calibri" w:hAnsi="Calibri" w:cs="Calibri"/>
                <w:sz w:val="22"/>
                <w:lang w:val="uk-UA" w:eastAsia="uk-UA"/>
              </w:rPr>
            </w:pPr>
            <w:r w:rsidRPr="00DA67C9">
              <w:rPr>
                <w:b/>
                <w:i/>
                <w:sz w:val="22"/>
                <w:lang w:val="uk-UA" w:eastAsia="uk-UA"/>
              </w:rPr>
              <w:t>6318,3</w:t>
            </w:r>
          </w:p>
        </w:tc>
        <w:tc>
          <w:tcPr>
            <w:tcW w:w="992"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rsidR="00DA0D1B" w:rsidRPr="00DA67C9" w:rsidRDefault="00DA0D1B" w:rsidP="008438B5">
            <w:pPr>
              <w:spacing w:line="276" w:lineRule="auto"/>
              <w:jc w:val="right"/>
              <w:rPr>
                <w:rFonts w:ascii="Calibri" w:eastAsia="Calibri" w:hAnsi="Calibri" w:cs="Calibri"/>
                <w:sz w:val="22"/>
                <w:lang w:val="uk-UA" w:eastAsia="uk-UA"/>
              </w:rPr>
            </w:pPr>
            <w:r w:rsidRPr="00DA67C9">
              <w:rPr>
                <w:b/>
                <w:i/>
                <w:sz w:val="22"/>
                <w:lang w:val="uk-UA" w:eastAsia="uk-UA"/>
              </w:rPr>
              <w:t>6250,4</w:t>
            </w:r>
          </w:p>
        </w:tc>
        <w:tc>
          <w:tcPr>
            <w:tcW w:w="2537"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rsidR="00DA0D1B" w:rsidRPr="00DA67C9" w:rsidRDefault="00DA0D1B" w:rsidP="008438B5">
            <w:pPr>
              <w:rPr>
                <w:lang w:val="uk-UA" w:eastAsia="uk-UA"/>
              </w:rPr>
            </w:pPr>
          </w:p>
        </w:tc>
      </w:tr>
      <w:tr w:rsidR="00DA0D1B" w:rsidRPr="00DA67C9" w:rsidTr="008438B5">
        <w:trPr>
          <w:trHeight w:val="780"/>
        </w:trPr>
        <w:tc>
          <w:tcPr>
            <w:tcW w:w="567" w:type="dxa"/>
            <w:tcBorders>
              <w:top w:val="single" w:sz="4" w:space="0" w:color="auto"/>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lang w:val="uk-UA" w:eastAsia="uk-UA"/>
              </w:rPr>
              <w:t>1.1</w:t>
            </w:r>
          </w:p>
        </w:tc>
        <w:tc>
          <w:tcPr>
            <w:tcW w:w="2438" w:type="dxa"/>
            <w:tcBorders>
              <w:top w:val="single" w:sz="4" w:space="0" w:color="auto"/>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lang w:val="uk-UA" w:eastAsia="uk-UA"/>
              </w:rPr>
              <w:t>Формування конкурентоспроможних туристичних продуктів</w:t>
            </w: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1.1.1. Заходи з розвитку маршрутів, локацій та тем, пов’язаних з історичними постатями, визначними подіями та спадщиною Вінницької міської територіальної громади</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 КП «Офіс туризму Вінниці», департамент культури, музейні заклади, громадські організації</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Кошти бюджету ВМТГ</w:t>
            </w:r>
          </w:p>
        </w:tc>
        <w:tc>
          <w:tcPr>
            <w:tcW w:w="992" w:type="dxa"/>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636,0</w:t>
            </w:r>
          </w:p>
        </w:tc>
        <w:tc>
          <w:tcPr>
            <w:tcW w:w="993" w:type="dxa"/>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120,0</w:t>
            </w:r>
          </w:p>
        </w:tc>
        <w:tc>
          <w:tcPr>
            <w:tcW w:w="992" w:type="dxa"/>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244,0</w:t>
            </w:r>
          </w:p>
        </w:tc>
        <w:tc>
          <w:tcPr>
            <w:tcW w:w="992" w:type="dxa"/>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272,0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Організовано події та заходи, спрямовані на розвиток культурно-пізнавального туризму, створено нові екскурсійні маршрути та об’єкти, пов’язані з історичними постатями, визначними подіями та спадщиною ВМТГ</w:t>
            </w:r>
          </w:p>
        </w:tc>
      </w:tr>
      <w:tr w:rsidR="00DA0D1B" w:rsidRPr="00406AA5" w:rsidTr="008438B5">
        <w:trPr>
          <w:trHeight w:val="2700"/>
        </w:trPr>
        <w:tc>
          <w:tcPr>
            <w:tcW w:w="567" w:type="dxa"/>
            <w:vMerge w:val="restart"/>
            <w:tcBorders>
              <w:top w:val="nil"/>
              <w:left w:val="single" w:sz="4" w:space="0" w:color="auto"/>
              <w:right w:val="single" w:sz="4" w:space="0" w:color="auto"/>
            </w:tcBorders>
            <w:shd w:val="clear" w:color="auto" w:fill="auto"/>
            <w:tcMar>
              <w:top w:w="0" w:type="dxa"/>
              <w:left w:w="40" w:type="dxa"/>
              <w:bottom w:w="0" w:type="dxa"/>
              <w:right w:w="40" w:type="dxa"/>
            </w:tcMar>
          </w:tcPr>
          <w:p w:rsidR="00DA0D1B" w:rsidRPr="00DA67C9" w:rsidRDefault="00DA0D1B" w:rsidP="008438B5">
            <w:pPr>
              <w:rPr>
                <w:lang w:val="uk-UA" w:eastAsia="uk-UA"/>
              </w:rPr>
            </w:pPr>
          </w:p>
        </w:tc>
        <w:tc>
          <w:tcPr>
            <w:tcW w:w="2438" w:type="dxa"/>
            <w:vMerge w:val="restart"/>
            <w:tcBorders>
              <w:top w:val="nil"/>
              <w:left w:val="single" w:sz="4" w:space="0" w:color="auto"/>
              <w:right w:val="single" w:sz="4" w:space="0" w:color="auto"/>
            </w:tcBorders>
            <w:shd w:val="clear" w:color="auto" w:fill="auto"/>
            <w:tcMar>
              <w:top w:w="0" w:type="dxa"/>
              <w:left w:w="40" w:type="dxa"/>
              <w:bottom w:w="0" w:type="dxa"/>
              <w:right w:w="40" w:type="dxa"/>
            </w:tcMar>
          </w:tcPr>
          <w:p w:rsidR="00DA0D1B" w:rsidRPr="00DA67C9" w:rsidRDefault="00DA0D1B" w:rsidP="008438B5">
            <w:pPr>
              <w:rPr>
                <w:lang w:val="uk-UA" w:eastAsia="uk-UA"/>
              </w:rPr>
            </w:pPr>
          </w:p>
        </w:tc>
        <w:tc>
          <w:tcPr>
            <w:tcW w:w="2450" w:type="dxa"/>
            <w:vMerge w:val="restart"/>
            <w:tcBorders>
              <w:top w:val="single" w:sz="6" w:space="0" w:color="000000"/>
              <w:left w:val="single" w:sz="4" w:space="0" w:color="auto"/>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1.1.2. Розвиток міжрегіональних та міжнародних культурних маршрутів</w:t>
            </w:r>
          </w:p>
        </w:tc>
        <w:tc>
          <w:tcPr>
            <w:tcW w:w="1102" w:type="dxa"/>
            <w:gridSpan w:val="2"/>
            <w:vMerge w:val="restart"/>
            <w:tcBorders>
              <w:top w:val="single" w:sz="6" w:space="0" w:color="000000"/>
              <w:left w:val="single" w:sz="6" w:space="0" w:color="CCCCCC"/>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vMerge w:val="restart"/>
            <w:tcBorders>
              <w:top w:val="single" w:sz="6" w:space="0" w:color="000000"/>
              <w:left w:val="single" w:sz="6" w:space="0" w:color="CCCCCC"/>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 КП «Офіс туризму Вінниці», виконавчі органи територіальних громад Вінницької та сусідніх з нею областей, центральні органи виконавчої влади</w:t>
            </w:r>
          </w:p>
        </w:tc>
        <w:tc>
          <w:tcPr>
            <w:tcW w:w="1322" w:type="dxa"/>
            <w:gridSpan w:val="2"/>
            <w:tcBorders>
              <w:top w:val="single" w:sz="6" w:space="0" w:color="000000"/>
              <w:left w:val="single" w:sz="6" w:space="0" w:color="CCCCCC"/>
              <w:bottom w:val="single" w:sz="6" w:space="0" w:color="000000"/>
              <w:right w:val="single" w:sz="4" w:space="0" w:color="auto"/>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Кошти бюджету ВМТГ</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324,0</w:t>
            </w:r>
          </w:p>
        </w:tc>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50,0</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124,0</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150,0</w:t>
            </w:r>
          </w:p>
        </w:tc>
        <w:tc>
          <w:tcPr>
            <w:tcW w:w="2537" w:type="dxa"/>
            <w:vMerge w:val="restart"/>
            <w:tcBorders>
              <w:top w:val="single" w:sz="6" w:space="0" w:color="000000"/>
              <w:left w:val="single" w:sz="4" w:space="0" w:color="auto"/>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Проведено заходи, спрямовані на формування та підсилення міжрегіональних та міжнародних культурних маршрутів (зокрема, Camino Podolico), виготовлено та поширено промопродукцію, проведено заходи із вдосконалення та підтримки у належному стані навігації на маршрутах.</w:t>
            </w:r>
          </w:p>
        </w:tc>
      </w:tr>
      <w:tr w:rsidR="00DA0D1B" w:rsidRPr="00DA67C9" w:rsidTr="008438B5">
        <w:trPr>
          <w:trHeight w:val="1932"/>
        </w:trPr>
        <w:tc>
          <w:tcPr>
            <w:tcW w:w="567" w:type="dxa"/>
            <w:vMerge/>
            <w:tcBorders>
              <w:left w:val="single" w:sz="4" w:space="0" w:color="auto"/>
              <w:bottom w:val="nil"/>
              <w:right w:val="single" w:sz="4" w:space="0" w:color="auto"/>
            </w:tcBorders>
            <w:shd w:val="clear" w:color="auto" w:fill="auto"/>
            <w:tcMar>
              <w:top w:w="0" w:type="dxa"/>
              <w:left w:w="40" w:type="dxa"/>
              <w:bottom w:w="0" w:type="dxa"/>
              <w:right w:w="40" w:type="dxa"/>
            </w:tcMar>
          </w:tcPr>
          <w:p w:rsidR="00DA0D1B" w:rsidRPr="00DA67C9" w:rsidRDefault="00DA0D1B" w:rsidP="008438B5">
            <w:pPr>
              <w:rPr>
                <w:lang w:val="uk-UA" w:eastAsia="uk-UA"/>
              </w:rPr>
            </w:pPr>
          </w:p>
        </w:tc>
        <w:tc>
          <w:tcPr>
            <w:tcW w:w="2438" w:type="dxa"/>
            <w:vMerge/>
            <w:tcBorders>
              <w:left w:val="single" w:sz="4" w:space="0" w:color="auto"/>
              <w:bottom w:val="nil"/>
              <w:right w:val="single" w:sz="4" w:space="0" w:color="auto"/>
            </w:tcBorders>
            <w:shd w:val="clear" w:color="auto" w:fill="auto"/>
            <w:tcMar>
              <w:top w:w="0" w:type="dxa"/>
              <w:left w:w="40" w:type="dxa"/>
              <w:bottom w:w="0" w:type="dxa"/>
              <w:right w:w="40" w:type="dxa"/>
            </w:tcMar>
          </w:tcPr>
          <w:p w:rsidR="00DA0D1B" w:rsidRPr="00DA67C9" w:rsidRDefault="00DA0D1B" w:rsidP="008438B5">
            <w:pPr>
              <w:rPr>
                <w:lang w:val="uk-UA" w:eastAsia="uk-UA"/>
              </w:rPr>
            </w:pPr>
          </w:p>
        </w:tc>
        <w:tc>
          <w:tcPr>
            <w:tcW w:w="2450" w:type="dxa"/>
            <w:vMerge/>
            <w:tcBorders>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b/>
                <w:i/>
                <w:lang w:val="uk-UA" w:eastAsia="uk-UA"/>
              </w:rPr>
            </w:pPr>
          </w:p>
        </w:tc>
        <w:tc>
          <w:tcPr>
            <w:tcW w:w="1102" w:type="dxa"/>
            <w:gridSpan w:val="2"/>
            <w:vMerge/>
            <w:tcBorders>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lang w:val="uk-UA" w:eastAsia="uk-UA"/>
              </w:rPr>
            </w:pPr>
          </w:p>
        </w:tc>
        <w:tc>
          <w:tcPr>
            <w:tcW w:w="1761" w:type="dxa"/>
            <w:gridSpan w:val="2"/>
            <w:vMerge/>
            <w:tcBorders>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lang w:val="uk-UA" w:eastAsia="uk-UA"/>
              </w:rPr>
            </w:pPr>
          </w:p>
        </w:tc>
        <w:tc>
          <w:tcPr>
            <w:tcW w:w="1322" w:type="dxa"/>
            <w:gridSpan w:val="2"/>
            <w:tcBorders>
              <w:top w:val="single" w:sz="6" w:space="0" w:color="000000"/>
              <w:left w:val="single" w:sz="6" w:space="0" w:color="CCCCCC"/>
              <w:bottom w:val="single" w:sz="6" w:space="0" w:color="000000"/>
              <w:right w:val="single" w:sz="4" w:space="0" w:color="auto"/>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Грантові кошти</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DA0D1B" w:rsidRPr="00DA67C9" w:rsidRDefault="00DA0D1B" w:rsidP="008438B5">
            <w:pPr>
              <w:jc w:val="right"/>
              <w:rPr>
                <w:b/>
                <w:i/>
                <w:sz w:val="22"/>
                <w:lang w:val="uk-UA" w:eastAsia="uk-UA"/>
              </w:rPr>
            </w:pPr>
            <w:r w:rsidRPr="00DA67C9">
              <w:rPr>
                <w:b/>
                <w:i/>
                <w:sz w:val="22"/>
                <w:lang w:val="uk-UA" w:eastAsia="uk-UA"/>
              </w:rPr>
              <w:t>80,878</w:t>
            </w:r>
          </w:p>
        </w:tc>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DA0D1B" w:rsidRPr="00DA67C9" w:rsidRDefault="00DA0D1B" w:rsidP="008438B5">
            <w:pPr>
              <w:jc w:val="right"/>
              <w:rPr>
                <w:b/>
                <w:i/>
                <w:sz w:val="22"/>
                <w:lang w:val="uk-UA" w:eastAsia="uk-UA"/>
              </w:rPr>
            </w:pPr>
            <w:r w:rsidRPr="00DA67C9">
              <w:rPr>
                <w:b/>
                <w:i/>
                <w:sz w:val="22"/>
                <w:lang w:val="uk-UA" w:eastAsia="uk-UA"/>
              </w:rPr>
              <w:t>80,878</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DA0D1B" w:rsidRPr="00DA67C9" w:rsidRDefault="00DA0D1B" w:rsidP="008438B5">
            <w:pPr>
              <w:jc w:val="right"/>
              <w:rPr>
                <w:b/>
                <w:i/>
                <w:sz w:val="22"/>
                <w:lang w:val="uk-UA" w:eastAsia="uk-UA"/>
              </w:rPr>
            </w:pP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DA0D1B" w:rsidRPr="00DA67C9" w:rsidRDefault="00DA0D1B" w:rsidP="008438B5">
            <w:pPr>
              <w:jc w:val="right"/>
              <w:rPr>
                <w:b/>
                <w:i/>
                <w:sz w:val="22"/>
                <w:lang w:val="uk-UA" w:eastAsia="uk-UA"/>
              </w:rPr>
            </w:pPr>
          </w:p>
        </w:tc>
        <w:tc>
          <w:tcPr>
            <w:tcW w:w="2537" w:type="dxa"/>
            <w:vMerge/>
            <w:tcBorders>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lang w:val="uk-UA" w:eastAsia="uk-UA"/>
              </w:rPr>
            </w:pPr>
          </w:p>
        </w:tc>
      </w:tr>
      <w:tr w:rsidR="00DA0D1B" w:rsidRPr="00406AA5" w:rsidTr="008438B5">
        <w:trPr>
          <w:trHeight w:val="534"/>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1.1.3. Стимулювання розвитку гастрокультури, сприяння проведенню гастрономічних подій та заходів, створення гастромаршрутів</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 КП «Офіс туризму Вінниці», громадські організації, заклади гостинності</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Спонсорська допомога</w:t>
            </w:r>
          </w:p>
        </w:tc>
        <w:tc>
          <w:tcPr>
            <w:tcW w:w="992"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993"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992"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992"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Проведено події та заходи, які підсилюють унікальність вінницької гастрокультури, сприяють формуванню нових та розвитку існуючих гастромаршрутів.</w:t>
            </w:r>
          </w:p>
        </w:tc>
      </w:tr>
      <w:tr w:rsidR="00DA0D1B" w:rsidRPr="00DA67C9" w:rsidTr="008438B5">
        <w:trPr>
          <w:trHeight w:val="780"/>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1.1.4. Заходи з розвитку ділового туризму. Сприяння проведенню подій національного та міжнародного рівнів</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 КП «Офіс туризму Вінниці», організатори подій національного та міжнародного рівня</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Не потребує фінансування</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Систематизується та поширюється інформація про конференц-майданчики Вінниці. У Вінницькій МТГ проводяться події національного та міжнародного рівня.</w:t>
            </w:r>
          </w:p>
        </w:tc>
      </w:tr>
      <w:tr w:rsidR="00DA0D1B" w:rsidRPr="00DA67C9" w:rsidTr="008438B5">
        <w:trPr>
          <w:trHeight w:val="534"/>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1.1.5. Заходи з використання потенціалу природних зон територіальної громади для розвитку екологічного та активного туризму</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 xml:space="preserve">Департамент маркетингу міста та туризму, департамент відновлення та розвитку, КП «Інститут розвитку міст», громадські організації, </w:t>
            </w:r>
            <w:r w:rsidRPr="00DA67C9">
              <w:rPr>
                <w:lang w:val="uk-UA" w:eastAsia="uk-UA"/>
              </w:rPr>
              <w:lastRenderedPageBreak/>
              <w:t>навчальні заклади</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lastRenderedPageBreak/>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300,0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100,0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100,0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100,0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 xml:space="preserve">Досліджено та проаналізовано природні ресурси громади як фактор сприяння розвитку туризму. Проведено заходи та створено тематичні екскурсійні маршрути для екологічного та активного відпочинку, </w:t>
            </w:r>
            <w:r w:rsidRPr="00DA67C9">
              <w:rPr>
                <w:lang w:val="uk-UA" w:eastAsia="uk-UA"/>
              </w:rPr>
              <w:lastRenderedPageBreak/>
              <w:t>зокрема пішохідні, велосипедні та водні.</w:t>
            </w:r>
          </w:p>
        </w:tc>
      </w:tr>
      <w:tr w:rsidR="00DA0D1B" w:rsidRPr="00DA67C9" w:rsidTr="008438B5">
        <w:trPr>
          <w:trHeight w:val="984"/>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1.1.6. Сприяння розвитку медичного туризму</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 департамент охорони здоров’я, департамент економіки і інвестицій, державні, комунальні та приватні заклади охорони здоров’я, центри реабілітації та рекреації</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100,0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100,0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Проведено аналіз потенціалу медичного туризму, розроблено комплекс заходів для просування медичного туризму, налагоджено співпрацю з національними та міжнародними суб’єктами у сфері медичного туризму</w:t>
            </w:r>
          </w:p>
        </w:tc>
      </w:tr>
      <w:tr w:rsidR="00DA0D1B" w:rsidRPr="00DA67C9" w:rsidTr="008438B5">
        <w:trPr>
          <w:trHeight w:val="1290"/>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1.1.7. Сприяння розвитку туризму на сільських територіях громади</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 старостинські округи</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200,0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100,0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100,0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Проведено аналіз туристичного потенціалу старостинських округів, забезпечено підтримку заходів та діяльності суб’єктів підприємництва у галузі сільського зеленого туризму, створено туристичні атракції з елементами нематеріальної спадщини та дозвілля. Популяризація етнографічного, історико-культурного та природного потенціалу громад.</w:t>
            </w:r>
          </w:p>
        </w:tc>
      </w:tr>
      <w:tr w:rsidR="00DA0D1B" w:rsidRPr="00DA67C9" w:rsidTr="008438B5">
        <w:trPr>
          <w:trHeight w:val="675"/>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b/>
                <w:i/>
                <w:lang w:val="uk-UA" w:eastAsia="uk-UA"/>
              </w:rPr>
            </w:pPr>
            <w:r w:rsidRPr="00DA67C9">
              <w:rPr>
                <w:rFonts w:eastAsia="Calibri"/>
                <w:b/>
                <w:i/>
                <w:lang w:val="uk-UA" w:eastAsia="uk-UA"/>
              </w:rPr>
              <w:t>1.1.8. Організація роботи виставкових проєктів на території Вінницької МТГ з метою приваблення та інформування споживачів туристичних послуг</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Департамент маркетингу міста та туризму, КП «Офіс туризму Вінниці», громадські організації та благодійні фонди</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 xml:space="preserve">Кошти бюджету ВМТГ </w:t>
            </w:r>
          </w:p>
        </w:tc>
        <w:tc>
          <w:tcPr>
            <w:tcW w:w="3969" w:type="dxa"/>
            <w:gridSpan w:val="4"/>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В межах коштів, передбачених в бюджеті ВМТГ за бюджетною програмою «Реалізація програм і заходів в галузі туризму та курортів» на фінансову підтримку КП «Офіс туризму Вінниці»</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Забезпечено функціонування виставкових проєктів «Музей моделей транспорту», «Виставка колекцій та мініатюр», «Музей української марки імені Якова Балабана» та інших. Напрацьовані та втілюються концепції розвитку виставкових проєктів, організовуються змінні виставки та заходи.</w:t>
            </w:r>
          </w:p>
        </w:tc>
      </w:tr>
      <w:tr w:rsidR="00DA0D1B" w:rsidRPr="00DA67C9" w:rsidTr="008438B5">
        <w:trPr>
          <w:trHeight w:val="417"/>
        </w:trPr>
        <w:tc>
          <w:tcPr>
            <w:tcW w:w="567" w:type="dxa"/>
            <w:tcBorders>
              <w:top w:val="single" w:sz="4" w:space="0" w:color="auto"/>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lang w:val="uk-UA" w:eastAsia="uk-UA"/>
              </w:rPr>
              <w:t>1.2</w:t>
            </w:r>
          </w:p>
        </w:tc>
        <w:tc>
          <w:tcPr>
            <w:tcW w:w="2438" w:type="dxa"/>
            <w:tcBorders>
              <w:top w:val="single" w:sz="4" w:space="0" w:color="auto"/>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lang w:val="uk-UA" w:eastAsia="uk-UA"/>
              </w:rPr>
              <w:t>Розвиток туристичної інфраструктури</w:t>
            </w: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1.2.1. Забезпечення інклюзивності туристичного середовища</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 департамент відновлення та розвитку, департамент архітектури та містобудування, департамент комунального господарства та благоустрою</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1350,0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550,0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400,0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400,0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Здійснено моніторинг об’єктів туристичної сфери на предмет безбар’єрного доступу, підготовлено рекомендації щодо різних аспектів інклюзії, проведено навчання для представників закладів туризму та гостинності. В міському просторі адаптовано до критеріїв інклюзивності туристичні маршрути, об’єкти та продукти.</w:t>
            </w:r>
          </w:p>
        </w:tc>
      </w:tr>
      <w:tr w:rsidR="00DA0D1B" w:rsidRPr="00406AA5" w:rsidTr="008438B5">
        <w:trPr>
          <w:trHeight w:val="534"/>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1.2.2. Реалізація заходів, спрямованих на посилення безпеки туристів і споживачів туристичних послуг</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Не потребує фінансування</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Підвищено рівень безпеки туристів та екскурсантів, забезпечено широке інформування про необхідні безпекові умови при веденні туристичної діяльності.</w:t>
            </w:r>
          </w:p>
        </w:tc>
      </w:tr>
      <w:tr w:rsidR="00DA0D1B" w:rsidRPr="00DA67C9" w:rsidTr="008438B5">
        <w:trPr>
          <w:trHeight w:val="600"/>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1.2.3. Уніфікація, осучаснення та підтримка стану туристичної навігації у Вінницькій міській територіальній громаді</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1179,1</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40,0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A93B78" w:rsidRDefault="00DA0D1B" w:rsidP="008438B5">
            <w:pPr>
              <w:jc w:val="right"/>
              <w:rPr>
                <w:rFonts w:eastAsia="Calibri"/>
                <w:b/>
                <w:i/>
                <w:sz w:val="22"/>
                <w:lang w:val="uk-UA" w:eastAsia="uk-UA"/>
              </w:rPr>
            </w:pPr>
            <w:r w:rsidRPr="00A93B78">
              <w:rPr>
                <w:rFonts w:eastAsia="Calibri"/>
                <w:b/>
                <w:i/>
                <w:sz w:val="22"/>
                <w:lang w:val="uk-UA" w:eastAsia="uk-UA"/>
              </w:rPr>
              <w:t>429,1</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sz w:val="22"/>
                <w:lang w:val="uk-UA" w:eastAsia="uk-UA"/>
              </w:rPr>
            </w:pPr>
            <w:r w:rsidRPr="00DA67C9">
              <w:rPr>
                <w:b/>
                <w:i/>
                <w:sz w:val="22"/>
                <w:lang w:val="uk-UA" w:eastAsia="uk-UA"/>
              </w:rPr>
              <w:t>710,0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Встановлено сучасну туристичну навігацію, створено умови для комфортної та доступної орієнтації в міському просторі та природних зонах.</w:t>
            </w:r>
          </w:p>
        </w:tc>
      </w:tr>
      <w:tr w:rsidR="00DA0D1B" w:rsidRPr="00DA67C9" w:rsidTr="008438B5">
        <w:trPr>
          <w:trHeight w:val="558"/>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1.2.4. Розробка концепції та втілення проєкту «Територія SUN»</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 департамент культури, ГО «Мистецьке об’єднання «Плай», інші громадські організації та ініціативи</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Грантові кошти</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Розроблено концепцію розвитку території майнового комплексу за адресою вул. Синьоводська, 247, визначено організаційно-управлінську модель функціонування, сформовано перспективний план розвитку, підготовлено інвестиційну пропозицію.</w:t>
            </w:r>
          </w:p>
        </w:tc>
      </w:tr>
      <w:tr w:rsidR="00DA0D1B" w:rsidRPr="00DA67C9" w:rsidTr="008438B5">
        <w:trPr>
          <w:trHeight w:val="900"/>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1.2.5. Підготовка й просування інвестиційних пропозицій зі створення та модернізації туристичних об’єктів</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 департамент комунального майна, департамент земельних ресурсів, департамент економіки і інвестицій</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Не потребує фінансування</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Проаналізовано ресурси територіальної громади для залучення інвестицій в напрямку туризму та дозвілля. Підготовлено інвестиційні пропозиції та включено їх до презентаційних матеріалів, що пропонуються інвесторам, донорам та міжнародним програмам.</w:t>
            </w:r>
          </w:p>
        </w:tc>
      </w:tr>
      <w:tr w:rsidR="00DA0D1B" w:rsidRPr="00DA67C9" w:rsidTr="008438B5">
        <w:trPr>
          <w:trHeight w:val="1810"/>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b/>
                <w:i/>
                <w:lang w:val="uk-UA" w:eastAsia="uk-UA"/>
              </w:rPr>
            </w:pPr>
            <w:r w:rsidRPr="00DA67C9">
              <w:rPr>
                <w:rFonts w:eastAsia="Calibri"/>
                <w:b/>
                <w:i/>
                <w:lang w:val="uk-UA" w:eastAsia="uk-UA"/>
              </w:rPr>
              <w:t>1.2.6. Забезпечення функціонування Комунального підприємства Вінницької міської ради «Офіс туризму Вінниці».</w:t>
            </w:r>
          </w:p>
          <w:p w:rsidR="00DA0D1B" w:rsidRPr="00DA67C9" w:rsidRDefault="00DA0D1B" w:rsidP="008438B5">
            <w:pPr>
              <w:rPr>
                <w:rFonts w:eastAsia="Calibri"/>
                <w:lang w:val="uk-UA" w:eastAsia="uk-UA"/>
              </w:rPr>
            </w:pPr>
            <w:r w:rsidRPr="00DA67C9">
              <w:rPr>
                <w:rFonts w:eastAsia="Calibri"/>
                <w:b/>
                <w:i/>
                <w:lang w:val="uk-UA" w:eastAsia="uk-UA"/>
              </w:rPr>
              <w:t>Надання фінансової підтримки КП «Офіс туризму Вінниці» на виконання основних напрямків діяльності, визначених в Порядку використання коштів, який затверджено рішенням міської ради</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Департамент маркетингу міста та туризму, КП «Офіс туризму Вінниці»</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 xml:space="preserve">Кошти бюджету ВМТГ </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12711,0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3812,4</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4668,2</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4230,4</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 xml:space="preserve">Ведеться база даних об’єктів туристичної та рекреаційної привабливості, інфраструктури туристичного ринку міста та об’єктів культурного надбання Вінницької МТГ. Проведено моніторинг звернень та відгуків споживачів туристичних послуг ВМТГ з метою дослідження туристичних потоків, стану розвитку туризму та сфери послуг. Надано консультативно-довідкову інформація для туристів та екскурсантів в усній формі та у формі рекламної продукції (буклети, путівники, відеоматеріали та ін., в тому числі електронні засоби інформації). Організовано культурне та екскурсійне обслуговування мистецьких і туристських колективів, делегацій, соціально вразливих груп. Надано консультаційні послуги з питань розвитку туристичної діяльності та реалізації маркетингової і туристичної стратегій громади. Організовано та проведено науково-практичні конференції, семінари, майстер-класи, тренінги, тощо. Сформовано та оновлюється календар подій та фестивалів. Забезпечено конференц-сервіс на міжнародних та всеукраїнських заходах, організованих Вінницькою міською радою та її виконавчими органами, закладами і комунальними </w:t>
            </w:r>
            <w:r w:rsidRPr="00DA67C9">
              <w:rPr>
                <w:rFonts w:eastAsia="Calibri"/>
                <w:lang w:val="uk-UA" w:eastAsia="uk-UA"/>
              </w:rPr>
              <w:lastRenderedPageBreak/>
              <w:t>підприємствами. Налагоджено контакти та співробітництво в Україні та за кордоном, поширено інформацію та промоційні матеріали з метою просування туристичного продукту Вінницької МТГ та обміну інформацією. Підготовлено та реалізовано проєкти у сферах культури і туризму відповідно до стратегічних документів Вінницької МТГ. Організовано роботу виставкових проєктів на території Вінницької МТГ.</w:t>
            </w:r>
          </w:p>
        </w:tc>
      </w:tr>
      <w:tr w:rsidR="00DA0D1B" w:rsidRPr="00DA67C9" w:rsidTr="008438B5">
        <w:trPr>
          <w:trHeight w:val="1080"/>
        </w:trPr>
        <w:tc>
          <w:tcPr>
            <w:tcW w:w="567" w:type="dxa"/>
            <w:tcBorders>
              <w:top w:val="nil"/>
              <w:left w:val="single" w:sz="4" w:space="0" w:color="auto"/>
              <w:bottom w:val="single" w:sz="4" w:space="0" w:color="auto"/>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single" w:sz="4" w:space="0" w:color="auto"/>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b/>
                <w:i/>
                <w:lang w:val="uk-UA" w:eastAsia="uk-UA"/>
              </w:rPr>
            </w:pPr>
            <w:r w:rsidRPr="00DA67C9">
              <w:rPr>
                <w:rFonts w:eastAsia="Calibri"/>
                <w:b/>
                <w:i/>
                <w:lang w:val="uk-UA" w:eastAsia="uk-UA"/>
              </w:rPr>
              <w:t>1.2.7. Створення та забезпечення роботи Туристичного хабу Вінниці</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Департамент маркетингу міста та туризму, КП «Офіс туризму Вінниці»</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Кошти бюджету ВМТГ</w:t>
            </w:r>
          </w:p>
        </w:tc>
        <w:tc>
          <w:tcPr>
            <w:tcW w:w="3969" w:type="dxa"/>
            <w:gridSpan w:val="4"/>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В межах коштів, передбачених в бюджеті ВМТГ за бюджетною програмою «Реалізація програм і заходів в галузі туризму та курортів» на фінансову підтримку КП «Офіс туризму Вінниці»</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Забезпечено створення і функціонування екосистеми Туристичного хабу Вінниці.</w:t>
            </w:r>
          </w:p>
        </w:tc>
      </w:tr>
      <w:tr w:rsidR="00DA0D1B" w:rsidRPr="00DA67C9" w:rsidTr="008438B5">
        <w:trPr>
          <w:trHeight w:val="780"/>
        </w:trPr>
        <w:tc>
          <w:tcPr>
            <w:tcW w:w="567" w:type="dxa"/>
            <w:tcBorders>
              <w:top w:val="single" w:sz="4" w:space="0" w:color="auto"/>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b/>
                <w:lang w:val="uk-UA" w:eastAsia="uk-UA"/>
              </w:rPr>
            </w:pPr>
            <w:r w:rsidRPr="00DA67C9">
              <w:rPr>
                <w:b/>
                <w:lang w:val="uk-UA" w:eastAsia="uk-UA"/>
              </w:rPr>
              <w:t>1.3</w:t>
            </w:r>
          </w:p>
        </w:tc>
        <w:tc>
          <w:tcPr>
            <w:tcW w:w="2438" w:type="dxa"/>
            <w:tcBorders>
              <w:top w:val="single" w:sz="4" w:space="0" w:color="auto"/>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lang w:val="uk-UA" w:eastAsia="uk-UA"/>
              </w:rPr>
              <w:t>Поліпшення якості послуг, кадрового забезпечення та комунікацій в сфері туризму</w:t>
            </w: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b/>
                <w:i/>
                <w:lang w:val="uk-UA" w:eastAsia="uk-UA"/>
              </w:rPr>
            </w:pPr>
            <w:r w:rsidRPr="00DA67C9">
              <w:rPr>
                <w:rFonts w:eastAsia="Calibri"/>
                <w:b/>
                <w:i/>
                <w:lang w:val="uk-UA" w:eastAsia="uk-UA"/>
              </w:rPr>
              <w:t>1.3.1. Організація навчання та підвищення кваліфікації у сферах туристичної, музейної, екскурсійної та готельно-ресторанної діяльності</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Департамент маркетингу міста та туризму, КП «Офіс туризму Вінниці»</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Кошти бюджету ВМТГ</w:t>
            </w:r>
          </w:p>
        </w:tc>
        <w:tc>
          <w:tcPr>
            <w:tcW w:w="3969" w:type="dxa"/>
            <w:gridSpan w:val="4"/>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В межах коштів, передбачених в бюджеті ВМТГ за бюджетною програмою «Реалізація програм і заходів в галузі туризму та курортів» на фінансову підтримку КП «Офіс туризму Вінниці»</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Підготовлено фахівців сфер туризму та гостинності для якісного надання послуг в місті та регіоні.</w:t>
            </w:r>
          </w:p>
        </w:tc>
      </w:tr>
      <w:tr w:rsidR="00DA0D1B" w:rsidRPr="00DA67C9" w:rsidTr="008438B5">
        <w:trPr>
          <w:trHeight w:val="525"/>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1.3.2. Налагодження екскурсійної діяльності на території громади, вручення бейджів фахівцям туристичного супроводу</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3,0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1,0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1,0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1,0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Забезпечено ведення реєстру рекомендованих фахівців туристичного супроводу, створено умови для якісного екскурсійного супроводу.</w:t>
            </w:r>
          </w:p>
        </w:tc>
      </w:tr>
      <w:tr w:rsidR="00DA0D1B" w:rsidRPr="00DA67C9" w:rsidTr="008438B5">
        <w:trPr>
          <w:trHeight w:val="817"/>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1.3.3. Реалізація заходів у партнерстві із закладами освіти, спрямованих на розвиток туризму та формування позитивного іміджу міста</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 КП «Офіс туризму Вінниці»</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Не потребує фінансування</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lang w:val="uk-UA"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lang w:val="uk-UA" w:eastAsia="uk-UA"/>
              </w:rPr>
            </w:pP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Сформовано партнерські зв’язки та створено умови для проведення спільних заходів із закладами освіти: форуми, тренінги, гостьові лекції, практики, стажування. Здійснюються заходи з профорієнтації в сфері туризму та гостинності.</w:t>
            </w:r>
          </w:p>
        </w:tc>
      </w:tr>
      <w:tr w:rsidR="00DA0D1B" w:rsidRPr="00DA67C9" w:rsidTr="008438B5">
        <w:trPr>
          <w:trHeight w:val="1035"/>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1.3.4. Проведення заходів для розвитку сфери гостинності та консолідації учасників туристичного ринку</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 заклади гостинності, туристичний бізнес та ініціативи</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lang w:val="uk-UA" w:eastAsia="uk-UA"/>
              </w:rPr>
            </w:pPr>
            <w:r w:rsidRPr="00DA67C9">
              <w:rPr>
                <w:lang w:val="uk-UA"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712,0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200,0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240,0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272,0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Організовано та проведено заходи для представників сфери гостинності та туризму для розширення мережі контактів, забезпечення інтенсивного розвиток ринку та збільшення рівня задоволеності послугами серед гостей та мешканців ВМТГ.</w:t>
            </w:r>
          </w:p>
        </w:tc>
      </w:tr>
      <w:tr w:rsidR="00DA0D1B" w:rsidRPr="00DA67C9" w:rsidTr="008438B5">
        <w:trPr>
          <w:trHeight w:val="534"/>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1.3.5. Розширення співпраці з містами-побратимами, партнерськими містами і регіонами, міжнародними організаціями щодо реалізації проєктів та обмінів у сферах культури і туризму</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 КП «Офіс туризму Вінниці»</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Не потребує фінансування</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sz w:val="22"/>
                <w:lang w:val="uk-UA"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sz w:val="22"/>
                <w:lang w:val="uk-UA" w:eastAsia="uk-UA"/>
              </w:rPr>
            </w:pP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Забезпечено системну взаємодію з містами-побратимами, партнерськими громадами та регіонами для просування культурно-туристичного потенціалу Вінниці та налагодження ділових, культурних і дипломатичних зв’язків.</w:t>
            </w:r>
          </w:p>
        </w:tc>
      </w:tr>
      <w:tr w:rsidR="00DA0D1B" w:rsidRPr="00DA67C9" w:rsidTr="008438B5">
        <w:trPr>
          <w:trHeight w:val="660"/>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1.3.6. Організація заходів до Всесвітнього дня туризму, відзначення представників галузі</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sz w:val="22"/>
                <w:lang w:val="uk-UA" w:eastAsia="uk-UA"/>
              </w:rPr>
            </w:pPr>
            <w:r w:rsidRPr="00DA67C9">
              <w:rPr>
                <w:b/>
                <w:i/>
                <w:sz w:val="22"/>
                <w:lang w:val="uk-UA" w:eastAsia="uk-UA"/>
              </w:rPr>
              <w:t>37,0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sz w:val="22"/>
                <w:lang w:val="uk-UA" w:eastAsia="uk-UA"/>
              </w:rPr>
            </w:pPr>
            <w:r w:rsidRPr="00DA67C9">
              <w:rPr>
                <w:b/>
                <w:i/>
                <w:sz w:val="22"/>
                <w:lang w:val="uk-UA" w:eastAsia="uk-UA"/>
              </w:rPr>
              <w:t>10,0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sz w:val="22"/>
                <w:lang w:val="uk-UA" w:eastAsia="uk-UA"/>
              </w:rPr>
            </w:pPr>
            <w:r w:rsidRPr="00DA67C9">
              <w:rPr>
                <w:b/>
                <w:i/>
                <w:sz w:val="22"/>
                <w:lang w:val="uk-UA" w:eastAsia="uk-UA"/>
              </w:rPr>
              <w:t>12,0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sz w:val="22"/>
                <w:lang w:val="uk-UA" w:eastAsia="uk-UA"/>
              </w:rPr>
            </w:pPr>
            <w:r w:rsidRPr="00DA67C9">
              <w:rPr>
                <w:b/>
                <w:i/>
                <w:sz w:val="22"/>
                <w:lang w:val="uk-UA" w:eastAsia="uk-UA"/>
              </w:rPr>
              <w:t>15,0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Відзначено досягнення представників туристичної галузі й сфери гостинності, дотичних до туризму осіб та проєктів</w:t>
            </w:r>
          </w:p>
        </w:tc>
      </w:tr>
      <w:tr w:rsidR="00DA0D1B" w:rsidRPr="00406AA5" w:rsidTr="008438B5">
        <w:trPr>
          <w:trHeight w:val="810"/>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1.3.7. Вдосконалення системи збору статистичних даних про туристичні потоки громади</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 КП «Офіс туризму Вінниці», аналітичні центри</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Не потребує фінансування</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lang w:val="uk-UA"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ascii="Calibri" w:eastAsia="Calibri" w:hAnsi="Calibri" w:cs="Calibri"/>
                <w:lang w:val="uk-UA" w:eastAsia="uk-UA"/>
              </w:rPr>
            </w:pP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Здійснено моніторинг туристичних потоків через аналіз даних мобільних операторів, збір інформації про відвідувачів громади через готелі та музеї, організаторів подій, проведення анкетувань та цільових опитувань.</w:t>
            </w:r>
          </w:p>
        </w:tc>
      </w:tr>
      <w:tr w:rsidR="00DA0D1B" w:rsidRPr="00DA67C9" w:rsidTr="008438B5">
        <w:trPr>
          <w:trHeight w:val="780"/>
        </w:trPr>
        <w:tc>
          <w:tcPr>
            <w:tcW w:w="567" w:type="dxa"/>
            <w:tcBorders>
              <w:top w:val="nil"/>
              <w:left w:val="single" w:sz="4" w:space="0" w:color="auto"/>
              <w:bottom w:val="single" w:sz="4" w:space="0" w:color="auto"/>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single" w:sz="4" w:space="0" w:color="auto"/>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4" w:space="0" w:color="auto"/>
              <w:right w:val="single" w:sz="6" w:space="0" w:color="000000"/>
            </w:tcBorders>
            <w:tcMar>
              <w:top w:w="0" w:type="dxa"/>
              <w:left w:w="40" w:type="dxa"/>
              <w:bottom w:w="0" w:type="dxa"/>
              <w:right w:w="40" w:type="dxa"/>
            </w:tcMar>
          </w:tcPr>
          <w:p w:rsidR="00DA0D1B" w:rsidRPr="00DA67C9" w:rsidRDefault="00DA0D1B" w:rsidP="008438B5">
            <w:pPr>
              <w:rPr>
                <w:rFonts w:eastAsia="Calibri"/>
                <w:b/>
                <w:i/>
                <w:lang w:val="uk-UA" w:eastAsia="uk-UA"/>
              </w:rPr>
            </w:pPr>
            <w:r w:rsidRPr="00DA67C9">
              <w:rPr>
                <w:rFonts w:eastAsia="Calibri"/>
                <w:b/>
                <w:i/>
                <w:lang w:val="uk-UA" w:eastAsia="uk-UA"/>
              </w:rPr>
              <w:t>1.3.8. Впровадження сервісів у форматі мобільних додатків та туристичної картки Вінниці</w:t>
            </w:r>
          </w:p>
        </w:tc>
        <w:tc>
          <w:tcPr>
            <w:tcW w:w="1102" w:type="dxa"/>
            <w:gridSpan w:val="2"/>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2024-2026</w:t>
            </w:r>
          </w:p>
        </w:tc>
        <w:tc>
          <w:tcPr>
            <w:tcW w:w="1761" w:type="dxa"/>
            <w:gridSpan w:val="2"/>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Департамент маркетингу міста та туризму, КП «Офіс туризму Вінниці»</w:t>
            </w:r>
          </w:p>
        </w:tc>
        <w:tc>
          <w:tcPr>
            <w:tcW w:w="1322" w:type="dxa"/>
            <w:gridSpan w:val="2"/>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Кошти бюджету ВМТГ</w:t>
            </w:r>
          </w:p>
          <w:p w:rsidR="00DA0D1B" w:rsidRPr="00DA67C9" w:rsidRDefault="00DA0D1B" w:rsidP="008438B5">
            <w:pPr>
              <w:rPr>
                <w:rFonts w:eastAsia="Calibri"/>
                <w:lang w:val="uk-UA" w:eastAsia="uk-UA"/>
              </w:rPr>
            </w:pPr>
          </w:p>
          <w:p w:rsidR="00DA0D1B" w:rsidRPr="00DA67C9" w:rsidRDefault="00DA0D1B" w:rsidP="008438B5">
            <w:pPr>
              <w:rPr>
                <w:rFonts w:eastAsia="Calibri"/>
                <w:lang w:val="uk-UA" w:eastAsia="uk-UA"/>
              </w:rPr>
            </w:pPr>
          </w:p>
        </w:tc>
        <w:tc>
          <w:tcPr>
            <w:tcW w:w="3969" w:type="dxa"/>
            <w:gridSpan w:val="4"/>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В межах коштів, передбачених в бюджеті ВМТГ за бюджетною програмою «Реалізація програм і заходів в галузі туризму та курортів» на фінансову підтримку КП «Офіс туризму Вінниці»</w:t>
            </w:r>
          </w:p>
        </w:tc>
        <w:tc>
          <w:tcPr>
            <w:tcW w:w="2537" w:type="dxa"/>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rsidR="00DA0D1B" w:rsidRPr="00DA67C9" w:rsidRDefault="00DA0D1B" w:rsidP="008438B5">
            <w:pPr>
              <w:rPr>
                <w:rFonts w:eastAsia="Calibri"/>
                <w:lang w:val="uk-UA" w:eastAsia="uk-UA"/>
              </w:rPr>
            </w:pPr>
            <w:r w:rsidRPr="00DA67C9">
              <w:rPr>
                <w:rFonts w:eastAsia="Calibri"/>
                <w:lang w:val="uk-UA" w:eastAsia="uk-UA"/>
              </w:rPr>
              <w:t xml:space="preserve">Забезпечено розвиток та промоцію застосунку «Вільна мапа», збільшено кількість нових користувачів, підвищено показник конверсії серед існуючих користувачів. Впроваджено та забезпечено реалізацію туристичної картки. </w:t>
            </w:r>
          </w:p>
        </w:tc>
      </w:tr>
      <w:tr w:rsidR="00DA0D1B" w:rsidRPr="00DA67C9" w:rsidTr="008438B5">
        <w:trPr>
          <w:trHeight w:val="460"/>
        </w:trPr>
        <w:tc>
          <w:tcPr>
            <w:tcW w:w="9640" w:type="dxa"/>
            <w:gridSpan w:val="9"/>
            <w:tcBorders>
              <w:top w:val="single" w:sz="4" w:space="0" w:color="auto"/>
              <w:left w:val="single" w:sz="4" w:space="0" w:color="auto"/>
              <w:bottom w:val="nil"/>
              <w:right w:val="single" w:sz="6" w:space="0" w:color="000000"/>
            </w:tcBorders>
            <w:shd w:val="clear" w:color="auto" w:fill="FFFFFF" w:themeFill="background1"/>
            <w:tcMar>
              <w:top w:w="0" w:type="dxa"/>
              <w:left w:w="40" w:type="dxa"/>
              <w:bottom w:w="0" w:type="dxa"/>
              <w:right w:w="40" w:type="dxa"/>
            </w:tcMar>
            <w:vAlign w:val="center"/>
          </w:tcPr>
          <w:p w:rsidR="00DA0D1B" w:rsidRPr="00DA67C9" w:rsidRDefault="00DA0D1B" w:rsidP="008438B5">
            <w:pPr>
              <w:rPr>
                <w:rFonts w:eastAsia="Calibri"/>
                <w:lang w:val="uk-UA" w:eastAsia="uk-UA"/>
              </w:rPr>
            </w:pPr>
            <w:r w:rsidRPr="00DA67C9">
              <w:rPr>
                <w:b/>
                <w:lang w:val="uk-UA" w:eastAsia="uk-UA"/>
              </w:rPr>
              <w:t>2. МАРКЕТИНГ ТА ПРОМОЦІЯ</w:t>
            </w:r>
          </w:p>
        </w:tc>
        <w:tc>
          <w:tcPr>
            <w:tcW w:w="992"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5949,0</w:t>
            </w:r>
          </w:p>
        </w:tc>
        <w:tc>
          <w:tcPr>
            <w:tcW w:w="993"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1328,0</w:t>
            </w:r>
          </w:p>
        </w:tc>
        <w:tc>
          <w:tcPr>
            <w:tcW w:w="992"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1805,0</w:t>
            </w:r>
          </w:p>
        </w:tc>
        <w:tc>
          <w:tcPr>
            <w:tcW w:w="992"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rsidR="00DA0D1B" w:rsidRPr="00DA67C9" w:rsidRDefault="00DA0D1B" w:rsidP="008438B5">
            <w:pPr>
              <w:jc w:val="right"/>
              <w:rPr>
                <w:rFonts w:ascii="Calibri" w:eastAsia="Calibri" w:hAnsi="Calibri" w:cs="Calibri"/>
                <w:sz w:val="22"/>
                <w:lang w:val="uk-UA" w:eastAsia="uk-UA"/>
              </w:rPr>
            </w:pPr>
            <w:r w:rsidRPr="00DA67C9">
              <w:rPr>
                <w:b/>
                <w:i/>
                <w:sz w:val="22"/>
                <w:lang w:val="uk-UA" w:eastAsia="uk-UA"/>
              </w:rPr>
              <w:t>2816,0</w:t>
            </w:r>
          </w:p>
        </w:tc>
        <w:tc>
          <w:tcPr>
            <w:tcW w:w="2537"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0" w:type="dxa"/>
              <w:left w:w="40" w:type="dxa"/>
              <w:bottom w:w="0" w:type="dxa"/>
              <w:right w:w="40" w:type="dxa"/>
            </w:tcMar>
            <w:vAlign w:val="center"/>
          </w:tcPr>
          <w:p w:rsidR="00DA0D1B" w:rsidRPr="00DA67C9" w:rsidRDefault="00DA0D1B" w:rsidP="008438B5">
            <w:pPr>
              <w:rPr>
                <w:lang w:val="uk-UA" w:eastAsia="uk-UA"/>
              </w:rPr>
            </w:pPr>
          </w:p>
        </w:tc>
      </w:tr>
      <w:tr w:rsidR="00DA0D1B" w:rsidRPr="00406AA5" w:rsidTr="008438B5">
        <w:trPr>
          <w:trHeight w:val="288"/>
        </w:trPr>
        <w:tc>
          <w:tcPr>
            <w:tcW w:w="567" w:type="dxa"/>
            <w:tcBorders>
              <w:top w:val="single" w:sz="4" w:space="0" w:color="auto"/>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lang w:val="uk-UA" w:eastAsia="uk-UA"/>
              </w:rPr>
              <w:t>2.1</w:t>
            </w:r>
          </w:p>
        </w:tc>
        <w:tc>
          <w:tcPr>
            <w:tcW w:w="2438" w:type="dxa"/>
            <w:tcBorders>
              <w:top w:val="single" w:sz="4" w:space="0" w:color="auto"/>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lang w:val="uk-UA" w:eastAsia="uk-UA"/>
              </w:rPr>
              <w:t>Маркетинг дестинації для цільових аудиторій туристів та на пріоритетних ринках</w:t>
            </w:r>
          </w:p>
        </w:tc>
        <w:tc>
          <w:tcPr>
            <w:tcW w:w="2450" w:type="dxa"/>
            <w:tcBorders>
              <w:top w:val="single" w:sz="4" w:space="0" w:color="auto"/>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2.1.1. Створення та розповсюдження промоматеріалів про туристичний потенціал громади і регіону</w:t>
            </w:r>
          </w:p>
        </w:tc>
        <w:tc>
          <w:tcPr>
            <w:tcW w:w="1102" w:type="dxa"/>
            <w:gridSpan w:val="2"/>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w:t>
            </w:r>
          </w:p>
        </w:tc>
        <w:tc>
          <w:tcPr>
            <w:tcW w:w="1322" w:type="dxa"/>
            <w:gridSpan w:val="2"/>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Кошти бюджету ВМТГ</w:t>
            </w:r>
          </w:p>
        </w:tc>
        <w:tc>
          <w:tcPr>
            <w:tcW w:w="992"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399,0</w:t>
            </w:r>
          </w:p>
        </w:tc>
        <w:tc>
          <w:tcPr>
            <w:tcW w:w="993"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20,0</w:t>
            </w:r>
          </w:p>
        </w:tc>
        <w:tc>
          <w:tcPr>
            <w:tcW w:w="992"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165,0</w:t>
            </w:r>
          </w:p>
        </w:tc>
        <w:tc>
          <w:tcPr>
            <w:tcW w:w="992"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214,0</w:t>
            </w:r>
          </w:p>
        </w:tc>
        <w:tc>
          <w:tcPr>
            <w:tcW w:w="2537"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Створено та розповсюджено інформаційні друковані матеріали та промоційні носії (мапи, каталоги, брошури, путівники, флаєри та ін.), що відображають туристичний потенціал територіальної громади і регіону.</w:t>
            </w:r>
          </w:p>
        </w:tc>
      </w:tr>
      <w:tr w:rsidR="00DA0D1B" w:rsidRPr="00DA67C9" w:rsidTr="008438B5">
        <w:trPr>
          <w:trHeight w:val="1290"/>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2.1.2. Створення та розповсюдження цифрового вмісту про туристичні ресурси громади</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Грантові кошти, спонсорська допомога</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lang w:val="uk-UA" w:eastAsia="uk-UA"/>
              </w:rPr>
            </w:pPr>
            <w:r w:rsidRPr="00DA67C9">
              <w:rPr>
                <w:lang w:val="uk-UA" w:eastAsia="uk-UA"/>
              </w:rPr>
              <w:t>Створено сучасний цифровий вміст, який сприяє збільшенню кількості туристів: промоційних відео, сюжетів, блогів, подкастів, аудіогідів, віртуальних турів, об’єктів віртуальної та доповненої реальності, тощо. Проведено оцифрування найвизначніших об’єктів матеріальної культурної спадщини та туристичних локацій.</w:t>
            </w:r>
          </w:p>
        </w:tc>
      </w:tr>
      <w:tr w:rsidR="00DA0D1B" w:rsidRPr="00406AA5" w:rsidTr="008438B5">
        <w:trPr>
          <w:trHeight w:val="1425"/>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2.1.3. Цифрове просування дестинації через офіційний туристичний портал та сторінки у соцмережах</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 КП «Офіс туризму Вінниці»</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lang w:val="uk-UA" w:eastAsia="uk-UA"/>
              </w:rPr>
            </w:pPr>
            <w:r w:rsidRPr="00DA67C9">
              <w:rPr>
                <w:lang w:val="uk-UA"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668,0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54,0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56,0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558,0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Забезпечено постійне функціонування та оновлення офіційного туристичного сайту, зростає кількість відвідувачів сайту та охоплення офіційних туристичних сторінок Visit Vinnytsia в соцмережах.</w:t>
            </w:r>
          </w:p>
        </w:tc>
      </w:tr>
      <w:tr w:rsidR="00DA0D1B" w:rsidRPr="00DA67C9" w:rsidTr="008438B5">
        <w:trPr>
          <w:trHeight w:val="780"/>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2.1.4. Промоція дестинації на зовнішніх медіаресурсах (статті, спецпроєкти, сюжети, тощо)</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180,0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30,0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70,0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80,0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Вінницю як туристичну дестинацію представлено у загальнонаціональних та регіональних медіа, що підвищує інтерес до громади серед зовнішніх аудиторій.</w:t>
            </w:r>
          </w:p>
        </w:tc>
      </w:tr>
      <w:tr w:rsidR="00DA0D1B" w:rsidRPr="00DA67C9" w:rsidTr="008438B5">
        <w:trPr>
          <w:trHeight w:val="615"/>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2.1.5. Участь у туристичних виставках і спеціалізованих подіях в Україні та за кордоном</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 КП «Офіс туризму Вінниці»</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Спонсорська допомога</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Вінниця як туристичний центр Подільського регіону представлена на спеціалізованих подіях в Україні та закордоном.</w:t>
            </w:r>
          </w:p>
        </w:tc>
      </w:tr>
      <w:tr w:rsidR="00DA0D1B" w:rsidRPr="00406AA5" w:rsidTr="008438B5">
        <w:trPr>
          <w:trHeight w:val="780"/>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 xml:space="preserve">2.1.6. Організація інформаційних та промоційних турів, екскурсійний супровід делегацій для ознайомлення з туристичною </w:t>
            </w:r>
            <w:r w:rsidRPr="00DA67C9">
              <w:rPr>
                <w:b/>
                <w:i/>
                <w:lang w:val="uk-UA" w:eastAsia="uk-UA"/>
              </w:rPr>
              <w:lastRenderedPageBreak/>
              <w:t>пропозицією громади і регіону</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lastRenderedPageBreak/>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 КП «Офіс туризму Вінниці», заклади дозвілля та гостинності</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lang w:val="uk-UA" w:eastAsia="uk-UA"/>
              </w:rPr>
            </w:pPr>
            <w:r w:rsidRPr="00DA67C9">
              <w:rPr>
                <w:lang w:val="uk-UA"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400,0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100,0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130,0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170,0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Організовано інформаційні та промоційні тури для медіа, блогерів та туроператорів, забезпечено екскурсійний супровід делегацій.</w:t>
            </w:r>
          </w:p>
        </w:tc>
      </w:tr>
      <w:tr w:rsidR="00DA0D1B" w:rsidRPr="00DA67C9" w:rsidTr="008438B5">
        <w:trPr>
          <w:trHeight w:val="780"/>
        </w:trPr>
        <w:tc>
          <w:tcPr>
            <w:tcW w:w="567" w:type="dxa"/>
            <w:tcBorders>
              <w:top w:val="nil"/>
              <w:left w:val="single" w:sz="4" w:space="0" w:color="auto"/>
              <w:bottom w:val="single" w:sz="4" w:space="0" w:color="auto"/>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single" w:sz="4" w:space="0" w:color="auto"/>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2.1.7. Проведення й аналіз досліджень та опитувань щодо туристичної привабливості громади і якості туристичних послуг</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 КП «Офіс туризму Вінниці», навчальні заклади та дослідницькі центри</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Не потребує фінансування</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Проведено та проаналізовано дослідження туристичної привабливості громади та якості наданих туристичних послуг.</w:t>
            </w:r>
          </w:p>
        </w:tc>
      </w:tr>
      <w:tr w:rsidR="00DA0D1B" w:rsidRPr="00DA67C9" w:rsidTr="008438B5">
        <w:trPr>
          <w:trHeight w:val="825"/>
        </w:trPr>
        <w:tc>
          <w:tcPr>
            <w:tcW w:w="567" w:type="dxa"/>
            <w:tcBorders>
              <w:top w:val="single" w:sz="4" w:space="0" w:color="auto"/>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lang w:val="uk-UA" w:eastAsia="uk-UA"/>
              </w:rPr>
              <w:t>2.2</w:t>
            </w:r>
          </w:p>
        </w:tc>
        <w:tc>
          <w:tcPr>
            <w:tcW w:w="2438" w:type="dxa"/>
            <w:tcBorders>
              <w:top w:val="single" w:sz="4" w:space="0" w:color="auto"/>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lang w:val="uk-UA" w:eastAsia="uk-UA"/>
              </w:rPr>
              <w:t>Формування та промоція позитивного іміджу громади</w:t>
            </w: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2.2.1. Створення та розповсюдження промоматеріалів та контенту з метою підсилення позитивного іміджу громади в інших регіонах та країнах</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490,0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170,0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150,0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170,0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Створено і поширено друковану продукцію та відеоролики, в т.ч. іноземними мовами, що підсилюють позитивний імідж громади серед інших регіонів та країн.</w:t>
            </w:r>
          </w:p>
        </w:tc>
      </w:tr>
      <w:tr w:rsidR="00DA0D1B" w:rsidRPr="00406AA5" w:rsidTr="008438B5">
        <w:trPr>
          <w:trHeight w:val="600"/>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2.2.2. Проведення комунікаційних кампаній з метою підсилення позитивного іміджу громади</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90,0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30,0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30,0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30,0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Розроблено плани та проведено кампанії, що підсилюють позитивний імідж Вінниці серед мешканців та зовнішніх аудиторій.</w:t>
            </w:r>
          </w:p>
        </w:tc>
      </w:tr>
      <w:tr w:rsidR="00DA0D1B" w:rsidRPr="00DA67C9" w:rsidTr="008438B5">
        <w:trPr>
          <w:trHeight w:val="840"/>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2.2.3. Забезпечення розробки, функціонування і просування промопорталів громади</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115,0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115,0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Забезпечено розробку, функціонування та просування промопорталів Вінниці.</w:t>
            </w:r>
          </w:p>
        </w:tc>
      </w:tr>
      <w:tr w:rsidR="00DA0D1B" w:rsidRPr="00406AA5" w:rsidTr="008438B5">
        <w:trPr>
          <w:trHeight w:val="780"/>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2.2.4. Промоція успішних практик в різних сферах життєдіяльності громади через зовнішні медіаресурси (статті, спецпроєкти, сюжети, тощо)</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100,0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50,0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50,0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 xml:space="preserve">Випущено промоційні матеріали щодо успішних практик та історій Вінниці на </w:t>
            </w:r>
            <w:r>
              <w:rPr>
                <w:lang w:val="uk-UA" w:eastAsia="uk-UA"/>
              </w:rPr>
              <w:t>з</w:t>
            </w:r>
            <w:r w:rsidRPr="00DA67C9">
              <w:rPr>
                <w:lang w:val="uk-UA" w:eastAsia="uk-UA"/>
              </w:rPr>
              <w:t>овнішніх медіаресурсах.</w:t>
            </w:r>
          </w:p>
        </w:tc>
      </w:tr>
      <w:tr w:rsidR="00DA0D1B" w:rsidRPr="00DA67C9" w:rsidTr="008438B5">
        <w:trPr>
          <w:trHeight w:val="780"/>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2.2.5. Представлення громади на національних та міжнародних подіях, в закордонних інституціях</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295,0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95,0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100,0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100,0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Для представлення Вінниці на національних та міжнародних подіях орендовано площі, забудовано стенди, організовано активності, поширено промоматеріали та сувеніри.</w:t>
            </w:r>
          </w:p>
        </w:tc>
      </w:tr>
      <w:tr w:rsidR="00DA0D1B" w:rsidRPr="00DA67C9" w:rsidTr="008438B5">
        <w:trPr>
          <w:trHeight w:val="525"/>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2.2.6. Виготовлення та поширення іміджевої і брендованої сувенірної продукції серед партнерів та учасників делегацій</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1250,0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350,0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400,0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500,0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Виготовлено та розповсюджено брендовану сувенірну продукцію серед партнерів та делегацій.</w:t>
            </w:r>
          </w:p>
        </w:tc>
      </w:tr>
      <w:tr w:rsidR="00DA0D1B" w:rsidRPr="00DA67C9" w:rsidTr="008438B5">
        <w:trPr>
          <w:trHeight w:val="525"/>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2.2.7. Обслуговування іноземних делегацій, що відвідують Вінницю з офіційним візитом</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1702,0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479,0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534,0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689,0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Забезпечено якісний рівень прийому іноземних делегацій, в т.ч. проживання, харчування, екскурсійний супровід, переклад.</w:t>
            </w:r>
          </w:p>
        </w:tc>
      </w:tr>
      <w:tr w:rsidR="00DA0D1B" w:rsidRPr="00DA67C9" w:rsidTr="008438B5">
        <w:trPr>
          <w:trHeight w:val="1455"/>
        </w:trPr>
        <w:tc>
          <w:tcPr>
            <w:tcW w:w="567"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2.2.8. Проведення і аналіз маркетингових досліджень. Розробка та моніторинг маркетингової стратегії міста</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Грантові кошти</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Проведено дослідження іміджу міста. Розроблена та втілюється нова маркетингова стратегія Вінниці.</w:t>
            </w:r>
          </w:p>
        </w:tc>
      </w:tr>
      <w:tr w:rsidR="00DA0D1B" w:rsidRPr="00DA67C9" w:rsidTr="008438B5">
        <w:trPr>
          <w:trHeight w:val="780"/>
        </w:trPr>
        <w:tc>
          <w:tcPr>
            <w:tcW w:w="567" w:type="dxa"/>
            <w:tcBorders>
              <w:top w:val="nil"/>
              <w:left w:val="single" w:sz="4" w:space="0" w:color="auto"/>
              <w:bottom w:val="single" w:sz="4" w:space="0" w:color="auto"/>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38" w:type="dxa"/>
            <w:tcBorders>
              <w:top w:val="nil"/>
              <w:left w:val="single" w:sz="4" w:space="0" w:color="auto"/>
              <w:bottom w:val="single" w:sz="4" w:space="0" w:color="auto"/>
              <w:right w:val="single" w:sz="4" w:space="0" w:color="auto"/>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b/>
                <w:i/>
                <w:lang w:val="uk-UA" w:eastAsia="uk-UA"/>
              </w:rPr>
              <w:t>2.2.9. Використання локальних подій у цілях маркетингу, інші заходи з просування бренду міста серед мешканців та відвідувачів громади</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Департамент маркетингу міста та туризму</w:t>
            </w:r>
          </w:p>
        </w:tc>
        <w:tc>
          <w:tcPr>
            <w:tcW w:w="132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Кошти бюджету ВМТГ</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260,0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120,0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jc w:val="right"/>
              <w:rPr>
                <w:rFonts w:eastAsia="Calibri"/>
                <w:b/>
                <w:i/>
                <w:sz w:val="22"/>
                <w:lang w:val="uk-UA" w:eastAsia="uk-UA"/>
              </w:rPr>
            </w:pPr>
            <w:r w:rsidRPr="00DA67C9">
              <w:rPr>
                <w:rFonts w:eastAsia="Calibri"/>
                <w:b/>
                <w:i/>
                <w:sz w:val="22"/>
                <w:lang w:val="uk-UA" w:eastAsia="uk-UA"/>
              </w:rPr>
              <w:t>140,0</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DA0D1B" w:rsidRPr="00DA67C9" w:rsidRDefault="00DA0D1B" w:rsidP="008438B5">
            <w:pPr>
              <w:rPr>
                <w:rFonts w:ascii="Calibri" w:eastAsia="Calibri" w:hAnsi="Calibri" w:cs="Calibri"/>
                <w:lang w:val="uk-UA" w:eastAsia="uk-UA"/>
              </w:rPr>
            </w:pPr>
            <w:r w:rsidRPr="00DA67C9">
              <w:rPr>
                <w:lang w:val="uk-UA" w:eastAsia="uk-UA"/>
              </w:rPr>
              <w:t>Облаштовано промолокації на загальноміських подіях, надано брендовану сувенірну продукцію для поширення серед мешканців та гостей міста.</w:t>
            </w:r>
          </w:p>
        </w:tc>
      </w:tr>
      <w:tr w:rsidR="00DA0D1B" w:rsidRPr="00DA67C9" w:rsidTr="008438B5">
        <w:trPr>
          <w:trHeight w:val="495"/>
        </w:trPr>
        <w:tc>
          <w:tcPr>
            <w:tcW w:w="5467" w:type="dxa"/>
            <w:gridSpan w:val="4"/>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DA0D1B" w:rsidRPr="00DA67C9" w:rsidRDefault="00DA0D1B" w:rsidP="008438B5">
            <w:pPr>
              <w:jc w:val="center"/>
              <w:rPr>
                <w:rFonts w:ascii="Calibri" w:eastAsia="Calibri" w:hAnsi="Calibri" w:cs="Calibri"/>
                <w:lang w:val="uk-UA" w:eastAsia="uk-UA"/>
              </w:rPr>
            </w:pPr>
            <w:r w:rsidRPr="00DA67C9">
              <w:rPr>
                <w:b/>
                <w:lang w:val="uk-UA" w:eastAsia="uk-UA"/>
              </w:rPr>
              <w:t>ВСЬОГО:</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DA0D1B" w:rsidRPr="00DA67C9" w:rsidRDefault="00DA0D1B" w:rsidP="008438B5">
            <w:pPr>
              <w:rPr>
                <w:rFonts w:ascii="Calibri" w:eastAsia="Calibri" w:hAnsi="Calibri" w:cs="Calibri"/>
                <w:lang w:val="uk-UA" w:eastAsia="uk-UA"/>
              </w:rPr>
            </w:pP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DA0D1B" w:rsidRPr="00DA67C9" w:rsidRDefault="00DA0D1B" w:rsidP="008438B5">
            <w:pPr>
              <w:rPr>
                <w:rFonts w:ascii="Calibri" w:eastAsia="Calibri" w:hAnsi="Calibri" w:cs="Calibri"/>
                <w:lang w:val="uk-UA" w:eastAsia="uk-UA"/>
              </w:rPr>
            </w:pPr>
          </w:p>
        </w:tc>
        <w:tc>
          <w:tcPr>
            <w:tcW w:w="13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DA0D1B" w:rsidRPr="00DA67C9" w:rsidRDefault="00DA0D1B" w:rsidP="008438B5">
            <w:pPr>
              <w:rPr>
                <w:rFonts w:ascii="Calibri" w:eastAsia="Calibri" w:hAnsi="Calibri" w:cs="Calibri"/>
                <w:lang w:val="uk-UA"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DA0D1B" w:rsidRPr="00DA67C9" w:rsidRDefault="00DA0D1B" w:rsidP="008438B5">
            <w:pPr>
              <w:spacing w:line="256" w:lineRule="auto"/>
              <w:ind w:left="-40"/>
              <w:jc w:val="right"/>
              <w:rPr>
                <w:rFonts w:eastAsia="Calibri"/>
                <w:b/>
                <w:sz w:val="22"/>
                <w:lang w:val="uk-UA" w:eastAsia="uk-UA"/>
              </w:rPr>
            </w:pPr>
            <w:r w:rsidRPr="00DA67C9">
              <w:rPr>
                <w:rFonts w:eastAsia="Calibri"/>
                <w:b/>
                <w:sz w:val="22"/>
                <w:lang w:val="uk-UA" w:eastAsia="uk-UA"/>
              </w:rPr>
              <w:t>23581,978</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DA0D1B" w:rsidRPr="00DA67C9" w:rsidRDefault="00DA0D1B" w:rsidP="008438B5">
            <w:pPr>
              <w:spacing w:line="256" w:lineRule="auto"/>
              <w:jc w:val="right"/>
              <w:rPr>
                <w:rFonts w:eastAsia="Calibri"/>
                <w:b/>
                <w:sz w:val="22"/>
                <w:lang w:val="uk-UA" w:eastAsia="uk-UA"/>
              </w:rPr>
            </w:pPr>
            <w:r w:rsidRPr="00DA67C9">
              <w:rPr>
                <w:rFonts w:eastAsia="Calibri"/>
                <w:b/>
                <w:sz w:val="22"/>
                <w:lang w:val="uk-UA" w:eastAsia="uk-UA"/>
              </w:rPr>
              <w:t>6392,278</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DA0D1B" w:rsidRPr="00DA67C9" w:rsidRDefault="00DA0D1B" w:rsidP="008438B5">
            <w:pPr>
              <w:spacing w:line="256" w:lineRule="auto"/>
              <w:jc w:val="right"/>
              <w:rPr>
                <w:rFonts w:eastAsia="Calibri"/>
                <w:b/>
                <w:sz w:val="22"/>
                <w:lang w:val="uk-UA" w:eastAsia="uk-UA"/>
              </w:rPr>
            </w:pPr>
            <w:r w:rsidRPr="00DA67C9">
              <w:rPr>
                <w:rFonts w:eastAsia="Calibri"/>
                <w:b/>
                <w:sz w:val="22"/>
                <w:lang w:val="uk-UA" w:eastAsia="uk-UA"/>
              </w:rPr>
              <w:t>8123,3</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DA0D1B" w:rsidRPr="00DA67C9" w:rsidRDefault="00DA0D1B" w:rsidP="008438B5">
            <w:pPr>
              <w:spacing w:line="256" w:lineRule="auto"/>
              <w:jc w:val="right"/>
              <w:rPr>
                <w:rFonts w:eastAsia="Calibri"/>
                <w:b/>
                <w:sz w:val="22"/>
                <w:lang w:val="uk-UA" w:eastAsia="uk-UA"/>
              </w:rPr>
            </w:pPr>
            <w:r w:rsidRPr="00DA67C9">
              <w:rPr>
                <w:rFonts w:eastAsia="Calibri"/>
                <w:b/>
                <w:sz w:val="22"/>
                <w:lang w:val="uk-UA" w:eastAsia="uk-UA"/>
              </w:rPr>
              <w:t>9066,4</w:t>
            </w:r>
          </w:p>
        </w:tc>
        <w:tc>
          <w:tcPr>
            <w:tcW w:w="25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rsidR="00DA0D1B" w:rsidRPr="00DA67C9" w:rsidRDefault="00DA0D1B" w:rsidP="008438B5">
            <w:pPr>
              <w:rPr>
                <w:rFonts w:ascii="Calibri" w:eastAsia="Calibri" w:hAnsi="Calibri" w:cs="Calibri"/>
                <w:lang w:val="uk-UA" w:eastAsia="uk-UA"/>
              </w:rPr>
            </w:pPr>
          </w:p>
        </w:tc>
      </w:tr>
    </w:tbl>
    <w:p w:rsidR="00DA0D1B" w:rsidRPr="00DA67C9" w:rsidRDefault="00DA0D1B" w:rsidP="00DA0D1B">
      <w:pPr>
        <w:pStyle w:val="a8"/>
        <w:shd w:val="clear" w:color="auto" w:fill="FFFFFF" w:themeFill="background1"/>
        <w:spacing w:before="2"/>
        <w:rPr>
          <w:color w:val="000000" w:themeColor="text1"/>
          <w:spacing w:val="-3"/>
        </w:rPr>
      </w:pPr>
    </w:p>
    <w:p w:rsidR="00DA0D1B" w:rsidRPr="00DA67C9" w:rsidRDefault="00DA0D1B" w:rsidP="00DA0D1B">
      <w:pPr>
        <w:jc w:val="center"/>
        <w:rPr>
          <w:b/>
          <w:sz w:val="28"/>
          <w:szCs w:val="28"/>
          <w:lang w:val="uk-UA"/>
        </w:rPr>
      </w:pPr>
    </w:p>
    <w:p w:rsidR="00DA0D1B" w:rsidRPr="00DA67C9" w:rsidRDefault="00DA0D1B" w:rsidP="00DA0D1B">
      <w:pPr>
        <w:jc w:val="center"/>
        <w:rPr>
          <w:b/>
          <w:sz w:val="28"/>
          <w:szCs w:val="28"/>
          <w:lang w:val="uk-UA"/>
        </w:rPr>
      </w:pPr>
    </w:p>
    <w:p w:rsidR="00DA0D1B" w:rsidRPr="00DA67C9" w:rsidRDefault="00DA0D1B" w:rsidP="00DA0D1B">
      <w:pPr>
        <w:jc w:val="center"/>
        <w:rPr>
          <w:b/>
          <w:szCs w:val="28"/>
        </w:rPr>
      </w:pPr>
      <w:r w:rsidRPr="00DA67C9">
        <w:rPr>
          <w:b/>
          <w:sz w:val="28"/>
          <w:szCs w:val="28"/>
          <w:lang w:val="uk-UA"/>
        </w:rPr>
        <w:t xml:space="preserve">Міський голова </w:t>
      </w:r>
      <w:r w:rsidRPr="00DA67C9">
        <w:rPr>
          <w:b/>
          <w:sz w:val="28"/>
          <w:szCs w:val="28"/>
          <w:lang w:val="uk-UA"/>
        </w:rPr>
        <w:tab/>
      </w:r>
      <w:r w:rsidRPr="00DA67C9">
        <w:rPr>
          <w:b/>
          <w:sz w:val="28"/>
          <w:szCs w:val="28"/>
          <w:lang w:val="uk-UA"/>
        </w:rPr>
        <w:tab/>
        <w:t xml:space="preserve">                         </w:t>
      </w:r>
      <w:r w:rsidRPr="00DA67C9">
        <w:rPr>
          <w:b/>
          <w:sz w:val="28"/>
          <w:szCs w:val="28"/>
          <w:lang w:val="uk-UA"/>
        </w:rPr>
        <w:tab/>
        <w:t xml:space="preserve">                      </w:t>
      </w:r>
      <w:r w:rsidRPr="00DA67C9">
        <w:rPr>
          <w:b/>
          <w:sz w:val="28"/>
          <w:szCs w:val="28"/>
          <w:lang w:val="uk-UA"/>
        </w:rPr>
        <w:tab/>
        <w:t xml:space="preserve">                   </w:t>
      </w:r>
      <w:r w:rsidRPr="00DA67C9">
        <w:rPr>
          <w:b/>
          <w:sz w:val="28"/>
          <w:szCs w:val="28"/>
          <w:lang w:val="uk-UA"/>
        </w:rPr>
        <w:tab/>
        <w:t xml:space="preserve">Сергій МОРГУНОВ </w:t>
      </w:r>
      <w:r w:rsidRPr="00DA67C9">
        <w:rPr>
          <w:b/>
          <w:szCs w:val="28"/>
        </w:rPr>
        <w:br w:type="page"/>
      </w:r>
    </w:p>
    <w:p w:rsidR="00DA0D1B" w:rsidRPr="00DA67C9" w:rsidRDefault="00DA0D1B" w:rsidP="00DA0D1B">
      <w:pPr>
        <w:spacing w:after="200" w:line="276" w:lineRule="auto"/>
        <w:jc w:val="center"/>
        <w:rPr>
          <w:b/>
          <w:sz w:val="28"/>
          <w:szCs w:val="28"/>
          <w:lang w:val="uk-UA"/>
        </w:rPr>
        <w:sectPr w:rsidR="00DA0D1B" w:rsidRPr="00DA67C9" w:rsidSect="00B94EB4">
          <w:pgSz w:w="16838" w:h="11906" w:orient="landscape"/>
          <w:pgMar w:top="993" w:right="567" w:bottom="851" w:left="851" w:header="709" w:footer="709" w:gutter="0"/>
          <w:cols w:space="708"/>
          <w:docGrid w:linePitch="360"/>
        </w:sectPr>
      </w:pPr>
    </w:p>
    <w:p w:rsidR="00DA0D1B" w:rsidRPr="00DA67C9" w:rsidRDefault="00DA0D1B" w:rsidP="00DA0D1B">
      <w:pPr>
        <w:pageBreakBefore/>
        <w:rPr>
          <w:sz w:val="28"/>
          <w:szCs w:val="28"/>
          <w:lang w:val="uk-UA"/>
        </w:rPr>
      </w:pPr>
      <w:r w:rsidRPr="00DA67C9">
        <w:rPr>
          <w:sz w:val="28"/>
          <w:szCs w:val="28"/>
          <w:lang w:val="uk-UA"/>
        </w:rPr>
        <w:lastRenderedPageBreak/>
        <w:t>Департамент маркетингу міста та туризму міської ради</w:t>
      </w:r>
    </w:p>
    <w:p w:rsidR="00DA0D1B" w:rsidRPr="00DA67C9" w:rsidRDefault="00DA0D1B" w:rsidP="00DA0D1B">
      <w:pPr>
        <w:rPr>
          <w:sz w:val="28"/>
          <w:szCs w:val="28"/>
          <w:lang w:val="uk-UA"/>
        </w:rPr>
      </w:pPr>
      <w:r w:rsidRPr="00DA67C9">
        <w:rPr>
          <w:sz w:val="28"/>
          <w:szCs w:val="28"/>
          <w:lang w:val="uk-UA"/>
        </w:rPr>
        <w:t>Данилюк Віталій Михайлович</w:t>
      </w:r>
    </w:p>
    <w:p w:rsidR="00DA0D1B" w:rsidRDefault="00DA0D1B" w:rsidP="00DA0D1B">
      <w:pPr>
        <w:rPr>
          <w:szCs w:val="28"/>
          <w:lang w:val="uk-UA"/>
        </w:rPr>
      </w:pPr>
      <w:r w:rsidRPr="00DA67C9">
        <w:rPr>
          <w:sz w:val="28"/>
          <w:szCs w:val="28"/>
          <w:lang w:val="uk-UA"/>
        </w:rPr>
        <w:t>Заступник начальника організаційно-аналітичного відділу</w:t>
      </w:r>
    </w:p>
    <w:p w:rsidR="00DA0D1B" w:rsidRDefault="00DA0D1B" w:rsidP="00DA0D1B">
      <w:pPr>
        <w:rPr>
          <w:szCs w:val="28"/>
          <w:lang w:val="uk-UA"/>
        </w:rPr>
      </w:pPr>
    </w:p>
    <w:p w:rsidR="001B29AC" w:rsidRDefault="001B29AC" w:rsidP="001B29AC">
      <w:pPr>
        <w:rPr>
          <w:szCs w:val="28"/>
          <w:lang w:val="uk-UA"/>
        </w:rPr>
      </w:pPr>
    </w:p>
    <w:p w:rsidR="001B29AC" w:rsidRPr="00CD0687" w:rsidRDefault="001B29AC" w:rsidP="001B29AC">
      <w:pPr>
        <w:ind w:firstLine="708"/>
        <w:rPr>
          <w:b/>
          <w:sz w:val="28"/>
          <w:szCs w:val="28"/>
        </w:rPr>
      </w:pPr>
    </w:p>
    <w:sectPr w:rsidR="001B29AC" w:rsidRPr="00CD0687" w:rsidSect="00856BD8">
      <w:type w:val="continuous"/>
      <w:pgSz w:w="11906" w:h="16838"/>
      <w:pgMar w:top="1135"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27B" w:rsidRDefault="0028327B">
      <w:r>
        <w:separator/>
      </w:r>
    </w:p>
  </w:endnote>
  <w:endnote w:type="continuationSeparator" w:id="0">
    <w:p w:rsidR="0028327B" w:rsidRDefault="0028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27B" w:rsidRDefault="0028327B">
      <w:r>
        <w:separator/>
      </w:r>
    </w:p>
  </w:footnote>
  <w:footnote w:type="continuationSeparator" w:id="0">
    <w:p w:rsidR="0028327B" w:rsidRDefault="00283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6"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0"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1"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3"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5"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7"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0"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5"/>
  </w:num>
  <w:num w:numId="4">
    <w:abstractNumId w:val="23"/>
  </w:num>
  <w:num w:numId="5">
    <w:abstractNumId w:val="21"/>
  </w:num>
  <w:num w:numId="6">
    <w:abstractNumId w:val="22"/>
  </w:num>
  <w:num w:numId="7">
    <w:abstractNumId w:val="1"/>
  </w:num>
  <w:num w:numId="8">
    <w:abstractNumId w:val="19"/>
  </w:num>
  <w:num w:numId="9">
    <w:abstractNumId w:val="8"/>
  </w:num>
  <w:num w:numId="10">
    <w:abstractNumId w:val="2"/>
  </w:num>
  <w:num w:numId="11">
    <w:abstractNumId w:val="12"/>
  </w:num>
  <w:num w:numId="12">
    <w:abstractNumId w:val="18"/>
  </w:num>
  <w:num w:numId="13">
    <w:abstractNumId w:val="11"/>
  </w:num>
  <w:num w:numId="14">
    <w:abstractNumId w:val="6"/>
  </w:num>
  <w:num w:numId="15">
    <w:abstractNumId w:val="17"/>
  </w:num>
  <w:num w:numId="16">
    <w:abstractNumId w:val="3"/>
  </w:num>
  <w:num w:numId="17">
    <w:abstractNumId w:val="10"/>
  </w:num>
  <w:num w:numId="18">
    <w:abstractNumId w:val="20"/>
  </w:num>
  <w:num w:numId="19">
    <w:abstractNumId w:val="13"/>
  </w:num>
  <w:num w:numId="20">
    <w:abstractNumId w:val="5"/>
  </w:num>
  <w:num w:numId="21">
    <w:abstractNumId w:val="16"/>
  </w:num>
  <w:num w:numId="22">
    <w:abstractNumId w:val="24"/>
  </w:num>
  <w:num w:numId="23">
    <w:abstractNumId w:val="14"/>
  </w:num>
  <w:num w:numId="24">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516AB"/>
    <w:rsid w:val="00053B48"/>
    <w:rsid w:val="00060666"/>
    <w:rsid w:val="0006361E"/>
    <w:rsid w:val="000669C7"/>
    <w:rsid w:val="00071C46"/>
    <w:rsid w:val="00073F61"/>
    <w:rsid w:val="00091944"/>
    <w:rsid w:val="000B648C"/>
    <w:rsid w:val="000C06E1"/>
    <w:rsid w:val="000C4EA6"/>
    <w:rsid w:val="000D6141"/>
    <w:rsid w:val="000E5438"/>
    <w:rsid w:val="00122A1D"/>
    <w:rsid w:val="00146058"/>
    <w:rsid w:val="00152BF7"/>
    <w:rsid w:val="00157380"/>
    <w:rsid w:val="00171C8D"/>
    <w:rsid w:val="001B29AC"/>
    <w:rsid w:val="001B52F4"/>
    <w:rsid w:val="001C686B"/>
    <w:rsid w:val="001F021D"/>
    <w:rsid w:val="001F31E7"/>
    <w:rsid w:val="001F6C19"/>
    <w:rsid w:val="00205903"/>
    <w:rsid w:val="002124C3"/>
    <w:rsid w:val="002136CC"/>
    <w:rsid w:val="00222341"/>
    <w:rsid w:val="00230446"/>
    <w:rsid w:val="002459FB"/>
    <w:rsid w:val="00247244"/>
    <w:rsid w:val="00260778"/>
    <w:rsid w:val="0028327B"/>
    <w:rsid w:val="002A0729"/>
    <w:rsid w:val="002C1D69"/>
    <w:rsid w:val="002D76A6"/>
    <w:rsid w:val="002F47F2"/>
    <w:rsid w:val="002F5147"/>
    <w:rsid w:val="003078AB"/>
    <w:rsid w:val="00313A14"/>
    <w:rsid w:val="00334CC0"/>
    <w:rsid w:val="00337D79"/>
    <w:rsid w:val="003709EC"/>
    <w:rsid w:val="0037411F"/>
    <w:rsid w:val="00390F26"/>
    <w:rsid w:val="003A0E24"/>
    <w:rsid w:val="003A6D71"/>
    <w:rsid w:val="003B0628"/>
    <w:rsid w:val="003C3AE6"/>
    <w:rsid w:val="003D31F8"/>
    <w:rsid w:val="003D5C0A"/>
    <w:rsid w:val="003E1EBC"/>
    <w:rsid w:val="003E62D9"/>
    <w:rsid w:val="003F1229"/>
    <w:rsid w:val="003F1F99"/>
    <w:rsid w:val="00406AA5"/>
    <w:rsid w:val="004228C4"/>
    <w:rsid w:val="004400A8"/>
    <w:rsid w:val="0044017F"/>
    <w:rsid w:val="0046501F"/>
    <w:rsid w:val="00467248"/>
    <w:rsid w:val="00487DB6"/>
    <w:rsid w:val="004918EA"/>
    <w:rsid w:val="004956DE"/>
    <w:rsid w:val="004A2A29"/>
    <w:rsid w:val="004C1990"/>
    <w:rsid w:val="004C7191"/>
    <w:rsid w:val="005025DA"/>
    <w:rsid w:val="005040EF"/>
    <w:rsid w:val="00505327"/>
    <w:rsid w:val="00534657"/>
    <w:rsid w:val="00546E1A"/>
    <w:rsid w:val="00552B2C"/>
    <w:rsid w:val="0055797E"/>
    <w:rsid w:val="00562429"/>
    <w:rsid w:val="00566EFD"/>
    <w:rsid w:val="00582D87"/>
    <w:rsid w:val="005A4D9B"/>
    <w:rsid w:val="005B7122"/>
    <w:rsid w:val="005C1F41"/>
    <w:rsid w:val="005C5770"/>
    <w:rsid w:val="005C59B2"/>
    <w:rsid w:val="005D4B54"/>
    <w:rsid w:val="005F3D00"/>
    <w:rsid w:val="005F5CB8"/>
    <w:rsid w:val="00600C87"/>
    <w:rsid w:val="00600F18"/>
    <w:rsid w:val="00601B42"/>
    <w:rsid w:val="00605B02"/>
    <w:rsid w:val="006067D0"/>
    <w:rsid w:val="00630B25"/>
    <w:rsid w:val="0063608E"/>
    <w:rsid w:val="00636383"/>
    <w:rsid w:val="0064294A"/>
    <w:rsid w:val="00654A1D"/>
    <w:rsid w:val="0067122C"/>
    <w:rsid w:val="00677B5E"/>
    <w:rsid w:val="00686811"/>
    <w:rsid w:val="006A1DB2"/>
    <w:rsid w:val="006C6706"/>
    <w:rsid w:val="006D3D52"/>
    <w:rsid w:val="006F138E"/>
    <w:rsid w:val="00723F0D"/>
    <w:rsid w:val="007432A0"/>
    <w:rsid w:val="00752183"/>
    <w:rsid w:val="00773953"/>
    <w:rsid w:val="007818F0"/>
    <w:rsid w:val="007C44BE"/>
    <w:rsid w:val="007C7134"/>
    <w:rsid w:val="007E4298"/>
    <w:rsid w:val="007F3D13"/>
    <w:rsid w:val="00810830"/>
    <w:rsid w:val="008258A9"/>
    <w:rsid w:val="00837217"/>
    <w:rsid w:val="00856BD8"/>
    <w:rsid w:val="00865517"/>
    <w:rsid w:val="00876216"/>
    <w:rsid w:val="00882BFA"/>
    <w:rsid w:val="008B6ACA"/>
    <w:rsid w:val="008C5402"/>
    <w:rsid w:val="008D4D05"/>
    <w:rsid w:val="008D6B2F"/>
    <w:rsid w:val="008E4FBF"/>
    <w:rsid w:val="00901DF2"/>
    <w:rsid w:val="00910F30"/>
    <w:rsid w:val="00913E63"/>
    <w:rsid w:val="00914C72"/>
    <w:rsid w:val="009252C1"/>
    <w:rsid w:val="00936069"/>
    <w:rsid w:val="00936FDE"/>
    <w:rsid w:val="0094016F"/>
    <w:rsid w:val="00943DDD"/>
    <w:rsid w:val="00952ABC"/>
    <w:rsid w:val="00960650"/>
    <w:rsid w:val="00964721"/>
    <w:rsid w:val="00964A3A"/>
    <w:rsid w:val="00975236"/>
    <w:rsid w:val="00980613"/>
    <w:rsid w:val="0098124F"/>
    <w:rsid w:val="00985590"/>
    <w:rsid w:val="00990143"/>
    <w:rsid w:val="009A2FD3"/>
    <w:rsid w:val="009B5031"/>
    <w:rsid w:val="009B5FB1"/>
    <w:rsid w:val="009D6FA9"/>
    <w:rsid w:val="009E04B1"/>
    <w:rsid w:val="009E1DF8"/>
    <w:rsid w:val="009F091A"/>
    <w:rsid w:val="009F69DA"/>
    <w:rsid w:val="00A022FC"/>
    <w:rsid w:val="00A040BD"/>
    <w:rsid w:val="00A07FA8"/>
    <w:rsid w:val="00A112CA"/>
    <w:rsid w:val="00A114CF"/>
    <w:rsid w:val="00A15274"/>
    <w:rsid w:val="00A27C2D"/>
    <w:rsid w:val="00A52035"/>
    <w:rsid w:val="00A62EE2"/>
    <w:rsid w:val="00A724DF"/>
    <w:rsid w:val="00A83968"/>
    <w:rsid w:val="00A86B7E"/>
    <w:rsid w:val="00A90330"/>
    <w:rsid w:val="00AC465C"/>
    <w:rsid w:val="00AD0C22"/>
    <w:rsid w:val="00AD4509"/>
    <w:rsid w:val="00AE3294"/>
    <w:rsid w:val="00AE3E49"/>
    <w:rsid w:val="00AF0F83"/>
    <w:rsid w:val="00B01BC3"/>
    <w:rsid w:val="00B11F06"/>
    <w:rsid w:val="00B22439"/>
    <w:rsid w:val="00B34A0B"/>
    <w:rsid w:val="00B46053"/>
    <w:rsid w:val="00B5004E"/>
    <w:rsid w:val="00B82E4E"/>
    <w:rsid w:val="00B97A23"/>
    <w:rsid w:val="00BA3874"/>
    <w:rsid w:val="00BC0421"/>
    <w:rsid w:val="00BD15D6"/>
    <w:rsid w:val="00BD27EA"/>
    <w:rsid w:val="00BD50C2"/>
    <w:rsid w:val="00BF12F4"/>
    <w:rsid w:val="00C55137"/>
    <w:rsid w:val="00C90D93"/>
    <w:rsid w:val="00C90E0D"/>
    <w:rsid w:val="00CC413E"/>
    <w:rsid w:val="00D0620B"/>
    <w:rsid w:val="00D10F0C"/>
    <w:rsid w:val="00D144F4"/>
    <w:rsid w:val="00D33072"/>
    <w:rsid w:val="00D50EAF"/>
    <w:rsid w:val="00D71207"/>
    <w:rsid w:val="00DA0D1B"/>
    <w:rsid w:val="00DA2C5F"/>
    <w:rsid w:val="00DB1864"/>
    <w:rsid w:val="00DB209A"/>
    <w:rsid w:val="00DC753F"/>
    <w:rsid w:val="00DD3F10"/>
    <w:rsid w:val="00DE15EF"/>
    <w:rsid w:val="00E604F3"/>
    <w:rsid w:val="00E64669"/>
    <w:rsid w:val="00E66BA9"/>
    <w:rsid w:val="00E8253C"/>
    <w:rsid w:val="00E8679F"/>
    <w:rsid w:val="00E92F38"/>
    <w:rsid w:val="00E94639"/>
    <w:rsid w:val="00EA3C86"/>
    <w:rsid w:val="00EA6AC8"/>
    <w:rsid w:val="00EA7E02"/>
    <w:rsid w:val="00EC5597"/>
    <w:rsid w:val="00ED28C2"/>
    <w:rsid w:val="00EF241E"/>
    <w:rsid w:val="00F106CC"/>
    <w:rsid w:val="00F10C20"/>
    <w:rsid w:val="00F12EF9"/>
    <w:rsid w:val="00F61232"/>
    <w:rsid w:val="00F63C34"/>
    <w:rsid w:val="00F6645A"/>
    <w:rsid w:val="00F77E24"/>
    <w:rsid w:val="00F81923"/>
    <w:rsid w:val="00F823CD"/>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uiPriority w:val="9"/>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uiPriority w:val="99"/>
    <w:rsid w:val="004956DE"/>
    <w:rPr>
      <w:rFonts w:ascii="Courier New" w:hAnsi="Courier New" w:cs="Courier New"/>
      <w:sz w:val="20"/>
      <w:szCs w:val="20"/>
      <w:lang w:val="uk-UA"/>
    </w:rPr>
  </w:style>
  <w:style w:type="character" w:customStyle="1" w:styleId="ae">
    <w:name w:val="Текст Знак"/>
    <w:basedOn w:val="a1"/>
    <w:link w:val="ad"/>
    <w:uiPriority w:val="99"/>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uiPriority w:val="9"/>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semiHidden/>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8">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9">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a">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13208</Words>
  <Characters>7529</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Данилюк Віталій Михайлович</cp:lastModifiedBy>
  <cp:revision>2</cp:revision>
  <cp:lastPrinted>2024-04-12T06:30:00Z</cp:lastPrinted>
  <dcterms:created xsi:type="dcterms:W3CDTF">2024-10-28T12:13:00Z</dcterms:created>
  <dcterms:modified xsi:type="dcterms:W3CDTF">2024-10-28T12:13:00Z</dcterms:modified>
</cp:coreProperties>
</file>